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</w:p>
    <w:p>
      <w:pPr>
        <w:jc w:val="center"/>
      </w:pPr>
    </w:p>
    <w:p>
      <w:pPr>
        <w:jc w:val="center"/>
        <w:rPr>
          <w:sz w:val="48"/>
          <w:szCs w:val="48"/>
        </w:rPr>
      </w:pPr>
    </w:p>
    <w:p>
      <w:pPr>
        <w:jc w:val="center"/>
        <w:rPr>
          <w:sz w:val="48"/>
          <w:szCs w:val="48"/>
        </w:rPr>
      </w:pPr>
    </w:p>
    <w:p>
      <w:pPr>
        <w:jc w:val="center"/>
        <w:rPr>
          <w:sz w:val="48"/>
          <w:szCs w:val="48"/>
        </w:rPr>
      </w:pPr>
    </w:p>
    <w:p>
      <w:pPr>
        <w:jc w:val="center"/>
        <w:rPr>
          <w:b/>
          <w:bCs/>
          <w:sz w:val="48"/>
          <w:szCs w:val="48"/>
        </w:rPr>
      </w:pPr>
      <w:r>
        <w:rPr>
          <w:rFonts w:hint="eastAsia"/>
          <w:b/>
          <w:bCs/>
          <w:sz w:val="48"/>
          <w:szCs w:val="48"/>
        </w:rPr>
        <w:t>国家医疗保障</w:t>
      </w:r>
      <w:r>
        <w:rPr>
          <w:rFonts w:hint="eastAsia"/>
          <w:b/>
          <w:bCs/>
          <w:sz w:val="48"/>
          <w:szCs w:val="48"/>
          <w:lang w:val="en-US" w:eastAsia="zh-CN"/>
        </w:rPr>
        <w:t>信息</w:t>
      </w:r>
      <w:bookmarkStart w:id="40" w:name="_GoBack"/>
      <w:bookmarkEnd w:id="40"/>
      <w:r>
        <w:rPr>
          <w:rFonts w:hint="eastAsia"/>
          <w:b/>
          <w:bCs/>
          <w:sz w:val="48"/>
          <w:szCs w:val="48"/>
        </w:rPr>
        <w:t>平台</w:t>
      </w:r>
    </w:p>
    <w:p>
      <w:pPr>
        <w:jc w:val="center"/>
        <w:rPr>
          <w:sz w:val="48"/>
          <w:szCs w:val="48"/>
        </w:rPr>
      </w:pPr>
      <w:r>
        <w:rPr>
          <w:rFonts w:hint="eastAsia"/>
          <w:sz w:val="48"/>
          <w:szCs w:val="48"/>
          <w:lang w:val="en-US" w:eastAsia="zh-CN"/>
        </w:rPr>
        <w:t>惠州</w:t>
      </w:r>
      <w:r>
        <w:rPr>
          <w:rFonts w:hint="eastAsia"/>
          <w:sz w:val="48"/>
          <w:szCs w:val="48"/>
        </w:rPr>
        <w:t>医保HIS结算业务</w:t>
      </w:r>
    </w:p>
    <w:p>
      <w:pPr>
        <w:pStyle w:val="12"/>
        <w:rPr>
          <w:b w:val="0"/>
          <w:sz w:val="36"/>
          <w:szCs w:val="36"/>
        </w:rPr>
      </w:pPr>
      <w:bookmarkStart w:id="0" w:name="_Toc28868"/>
      <w:r>
        <w:rPr>
          <w:rFonts w:hint="eastAsia"/>
          <w:b w:val="0"/>
          <w:sz w:val="36"/>
          <w:szCs w:val="36"/>
        </w:rPr>
        <w:t>操作指引</w:t>
      </w:r>
      <w:bookmarkEnd w:id="0"/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left"/>
        <w:rPr>
          <w:sz w:val="48"/>
          <w:szCs w:val="48"/>
        </w:rPr>
      </w:pPr>
    </w:p>
    <w:p>
      <w:pPr>
        <w:widowControl/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广州</w:t>
      </w:r>
      <w:r>
        <w:rPr>
          <w:sz w:val="28"/>
          <w:szCs w:val="28"/>
        </w:rPr>
        <w:t>华资软件</w:t>
      </w:r>
      <w:r>
        <w:rPr>
          <w:rFonts w:hint="eastAsia"/>
          <w:sz w:val="28"/>
          <w:szCs w:val="28"/>
        </w:rPr>
        <w:t>技术</w:t>
      </w:r>
      <w:r>
        <w:rPr>
          <w:sz w:val="28"/>
          <w:szCs w:val="28"/>
        </w:rPr>
        <w:t>有限公司</w:t>
      </w:r>
    </w:p>
    <w:p>
      <w:pPr>
        <w:widowControl/>
        <w:jc w:val="center"/>
      </w:pPr>
      <w:r>
        <w:rPr>
          <w:rFonts w:hint="eastAsia"/>
          <w:sz w:val="28"/>
          <w:szCs w:val="28"/>
        </w:rPr>
        <w:t>版本V1.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sz w:val="28"/>
          <w:szCs w:val="28"/>
        </w:rPr>
        <w:t>0</w:t>
      </w:r>
      <w:r>
        <w:rPr>
          <w:sz w:val="28"/>
          <w:szCs w:val="28"/>
        </w:rPr>
        <w:br w:type="page"/>
      </w: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-1961477574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28"/>
          </w:pPr>
          <w:r>
            <w:rPr>
              <w:lang w:val="zh-CN"/>
            </w:rPr>
            <w:t>目录</w:t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_Toc28868 </w:instrText>
          </w:r>
          <w:r>
            <w:fldChar w:fldCharType="separate"/>
          </w:r>
          <w:r>
            <w:rPr>
              <w:rFonts w:hint="eastAsia"/>
              <w:szCs w:val="36"/>
            </w:rPr>
            <w:t>操作指引</w:t>
          </w:r>
          <w:r>
            <w:tab/>
          </w:r>
          <w:r>
            <w:fldChar w:fldCharType="begin"/>
          </w:r>
          <w:r>
            <w:instrText xml:space="preserve"> PAGEREF _Toc28868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_Toc3711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黑体" w:eastAsia="黑体"/>
              <w:i w:val="0"/>
              <w:snapToGrid w:val="0"/>
            </w:rPr>
            <w:t xml:space="preserve">第一章 </w:t>
          </w:r>
          <w:r>
            <w:rPr>
              <w:rFonts w:hint="eastAsia" w:eastAsia="黑体"/>
              <w:snapToGrid w:val="0"/>
            </w:rPr>
            <w:t>业</w:t>
          </w:r>
          <w:r>
            <w:rPr>
              <w:rFonts w:eastAsia="黑体"/>
              <w:snapToGrid w:val="0"/>
            </w:rPr>
            <w:t>务</w:t>
          </w:r>
          <w:r>
            <w:rPr>
              <w:rFonts w:hint="eastAsia" w:eastAsia="黑体"/>
              <w:snapToGrid w:val="0"/>
            </w:rPr>
            <w:t>指</w:t>
          </w:r>
          <w:r>
            <w:rPr>
              <w:rFonts w:eastAsia="黑体"/>
              <w:snapToGrid w:val="0"/>
            </w:rPr>
            <w:t>引</w:t>
          </w:r>
          <w:r>
            <w:tab/>
          </w:r>
          <w:r>
            <w:fldChar w:fldCharType="begin"/>
          </w:r>
          <w:r>
            <w:instrText xml:space="preserve"> PAGEREF _Toc3711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_Toc12218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1.1 </w:t>
          </w:r>
          <w:r>
            <w:rPr>
              <w:rFonts w:hint="eastAsia"/>
            </w:rPr>
            <w:t>通</w:t>
          </w:r>
          <w:r>
            <w:t>用</w:t>
          </w:r>
          <w:r>
            <w:rPr>
              <w:rFonts w:hint="eastAsia"/>
            </w:rPr>
            <w:t>规则</w:t>
          </w:r>
          <w:r>
            <w:t>说明</w:t>
          </w:r>
          <w:r>
            <w:tab/>
          </w:r>
          <w:r>
            <w:fldChar w:fldCharType="begin"/>
          </w:r>
          <w:r>
            <w:instrText xml:space="preserve"> PAGEREF _Toc12218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_Toc3255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1.1.1 </w:t>
          </w:r>
          <w:r>
            <w:rPr>
              <w:rFonts w:hint="eastAsia"/>
              <w:szCs w:val="24"/>
            </w:rPr>
            <w:t>系统</w:t>
          </w:r>
          <w:r>
            <w:rPr>
              <w:szCs w:val="24"/>
            </w:rPr>
            <w:t>技术</w:t>
          </w:r>
          <w:r>
            <w:rPr>
              <w:rFonts w:hint="eastAsia"/>
              <w:szCs w:val="24"/>
            </w:rPr>
            <w:t>交流</w:t>
          </w:r>
          <w:r>
            <w:rPr>
              <w:szCs w:val="24"/>
            </w:rPr>
            <w:t>QQ群</w:t>
          </w:r>
          <w:r>
            <w:tab/>
          </w:r>
          <w:r>
            <w:fldChar w:fldCharType="begin"/>
          </w:r>
          <w:r>
            <w:instrText xml:space="preserve"> PAGEREF _Toc3255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_Toc25571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1.1.2 </w:t>
          </w:r>
          <w:r>
            <w:rPr>
              <w:rFonts w:hint="eastAsia"/>
              <w:szCs w:val="24"/>
            </w:rPr>
            <w:t>接</w:t>
          </w:r>
          <w:r>
            <w:rPr>
              <w:szCs w:val="24"/>
            </w:rPr>
            <w:t>口</w:t>
          </w:r>
          <w:r>
            <w:rPr>
              <w:rFonts w:hint="eastAsia"/>
              <w:szCs w:val="24"/>
            </w:rPr>
            <w:t>访问</w:t>
          </w:r>
          <w:r>
            <w:rPr>
              <w:szCs w:val="24"/>
            </w:rPr>
            <w:t>地址</w:t>
          </w:r>
          <w:r>
            <w:tab/>
          </w:r>
          <w:r>
            <w:fldChar w:fldCharType="begin"/>
          </w:r>
          <w:r>
            <w:instrText xml:space="preserve"> PAGEREF _Toc25571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_Toc17248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1.1.3 </w:t>
          </w:r>
          <w:r>
            <w:rPr>
              <w:rFonts w:hint="eastAsia"/>
              <w:szCs w:val="24"/>
            </w:rPr>
            <w:t>险种</w:t>
          </w:r>
          <w:r>
            <w:rPr>
              <w:szCs w:val="24"/>
            </w:rPr>
            <w:t>类型获取</w:t>
          </w:r>
          <w:r>
            <w:tab/>
          </w:r>
          <w:r>
            <w:fldChar w:fldCharType="begin"/>
          </w:r>
          <w:r>
            <w:instrText xml:space="preserve"> PAGEREF _Toc17248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_Toc10136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1.1.4 </w:t>
          </w:r>
          <w:r>
            <w:rPr>
              <w:rFonts w:hint="eastAsia"/>
            </w:rPr>
            <w:t>费</w:t>
          </w:r>
          <w:r>
            <w:t>用明细上传</w:t>
          </w:r>
          <w:r>
            <w:tab/>
          </w:r>
          <w:r>
            <w:fldChar w:fldCharType="begin"/>
          </w:r>
          <w:r>
            <w:instrText xml:space="preserve"> PAGEREF _Toc10136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_Toc7637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1.1.5 </w:t>
          </w:r>
          <w:r>
            <w:rPr>
              <w:rFonts w:hint="eastAsia"/>
            </w:rPr>
            <w:t>诊</w:t>
          </w:r>
          <w:r>
            <w:t>断信息上传</w:t>
          </w:r>
          <w:r>
            <w:tab/>
          </w:r>
          <w:r>
            <w:fldChar w:fldCharType="begin"/>
          </w:r>
          <w:r>
            <w:instrText xml:space="preserve"> PAGEREF _Toc7637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_Toc4509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1.1.6 </w:t>
          </w:r>
          <w:r>
            <w:rPr>
              <w:rFonts w:hint="eastAsia"/>
            </w:rPr>
            <w:t>金额</w:t>
          </w:r>
          <w:r>
            <w:t>运算</w:t>
          </w:r>
          <w:r>
            <w:rPr>
              <w:rFonts w:hint="eastAsia"/>
            </w:rPr>
            <w:t>要</w:t>
          </w:r>
          <w:r>
            <w:t>求</w:t>
          </w:r>
          <w:r>
            <w:tab/>
          </w:r>
          <w:r>
            <w:fldChar w:fldCharType="begin"/>
          </w:r>
          <w:r>
            <w:instrText xml:space="preserve"> PAGEREF _Toc4509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_Toc13626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1.1.7 </w:t>
          </w:r>
          <w:r>
            <w:rPr>
              <w:rFonts w:hint="eastAsia"/>
            </w:rPr>
            <w:t>发</w:t>
          </w:r>
          <w:r>
            <w:t>票显示“</w:t>
          </w:r>
          <w:r>
            <w:rPr>
              <w:rFonts w:hint="eastAsia"/>
            </w:rPr>
            <w:t>自</w:t>
          </w:r>
          <w:r>
            <w:t>付金额”</w:t>
          </w:r>
          <w:r>
            <w:tab/>
          </w:r>
          <w:r>
            <w:fldChar w:fldCharType="begin"/>
          </w:r>
          <w:r>
            <w:instrText xml:space="preserve"> PAGEREF _Toc13626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_Toc1585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1.2 </w:t>
          </w:r>
          <w:r>
            <w:rPr>
              <w:rFonts w:hint="eastAsia"/>
            </w:rPr>
            <w:t>非</w:t>
          </w:r>
          <w:r>
            <w:t>中国大</w:t>
          </w:r>
          <w:r>
            <w:rPr>
              <w:rFonts w:hint="eastAsia"/>
            </w:rPr>
            <w:t>陆</w:t>
          </w:r>
          <w:r>
            <w:t>公民身份证人员</w:t>
          </w:r>
          <w:r>
            <w:rPr>
              <w:rFonts w:hint="eastAsia"/>
            </w:rPr>
            <w:t>资料</w:t>
          </w:r>
          <w:r>
            <w:t>获取</w:t>
          </w:r>
          <w:r>
            <w:tab/>
          </w:r>
          <w:r>
            <w:fldChar w:fldCharType="begin"/>
          </w:r>
          <w:r>
            <w:instrText xml:space="preserve"> PAGEREF _Toc1585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_Toc30167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1.3 </w:t>
          </w:r>
          <w:r>
            <w:rPr>
              <w:rFonts w:hint="eastAsia"/>
              <w:lang w:val="en-US" w:eastAsia="zh-CN"/>
            </w:rPr>
            <w:t>药店</w:t>
          </w:r>
          <w:r>
            <w:rPr>
              <w:rFonts w:hint="eastAsia"/>
            </w:rPr>
            <w:t>业</w:t>
          </w:r>
          <w:r>
            <w:t>务</w:t>
          </w:r>
          <w:r>
            <w:tab/>
          </w:r>
          <w:r>
            <w:fldChar w:fldCharType="begin"/>
          </w:r>
          <w:r>
            <w:instrText xml:space="preserve"> PAGEREF _Toc30167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_Toc32120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1.3.1 </w:t>
          </w:r>
          <w:r>
            <w:rPr>
              <w:rFonts w:hint="eastAsia"/>
              <w:szCs w:val="24"/>
              <w:lang w:eastAsia="zh-CN"/>
            </w:rPr>
            <w:t>定点药店</w:t>
          </w:r>
          <w:r>
            <w:rPr>
              <w:rFonts w:hint="eastAsia"/>
              <w:szCs w:val="24"/>
            </w:rPr>
            <w:t>购药</w:t>
          </w:r>
          <w:r>
            <w:rPr>
              <w:rFonts w:hint="eastAsia"/>
              <w:szCs w:val="24"/>
              <w:lang w:eastAsia="zh-CN"/>
            </w:rPr>
            <w:t>（刷个账）</w:t>
          </w:r>
          <w:r>
            <w:tab/>
          </w:r>
          <w:r>
            <w:fldChar w:fldCharType="begin"/>
          </w:r>
          <w:r>
            <w:instrText xml:space="preserve"> PAGEREF _Toc32120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_Toc10317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  <w:lang w:val="en-US" w:eastAsia="zh-CN"/>
            </w:rPr>
            <w:t xml:space="preserve">1.4 </w:t>
          </w:r>
          <w:r>
            <w:rPr>
              <w:rFonts w:hint="eastAsia"/>
              <w:lang w:val="en-US" w:eastAsia="zh-CN"/>
            </w:rPr>
            <w:t>查询业务</w:t>
          </w:r>
          <w:r>
            <w:tab/>
          </w:r>
          <w:r>
            <w:fldChar w:fldCharType="begin"/>
          </w:r>
          <w:r>
            <w:instrText xml:space="preserve"> PAGEREF _Toc10317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_Toc21076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1.10.1 费用明细查询</w:t>
          </w:r>
          <w:r>
            <w:tab/>
          </w:r>
          <w:r>
            <w:fldChar w:fldCharType="begin"/>
          </w:r>
          <w:r>
            <w:instrText xml:space="preserve"> PAGEREF _Toc21076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_Toc17818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1.10.2 结算信息查询</w:t>
          </w:r>
          <w:r>
            <w:tab/>
          </w:r>
          <w:r>
            <w:fldChar w:fldCharType="begin"/>
          </w:r>
          <w:r>
            <w:instrText xml:space="preserve"> PAGEREF _Toc17818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_Toc1259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1.10.3 就诊信息查询</w:t>
          </w:r>
          <w:r>
            <w:tab/>
          </w:r>
          <w:r>
            <w:fldChar w:fldCharType="begin"/>
          </w:r>
          <w:r>
            <w:instrText xml:space="preserve"> PAGEREF _Toc1259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_Toc29692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1.5 </w:t>
          </w:r>
          <w:r>
            <w:rPr>
              <w:rFonts w:hint="eastAsia"/>
            </w:rPr>
            <w:t>结算</w:t>
          </w:r>
          <w:r>
            <w:t>单</w:t>
          </w:r>
          <w:r>
            <w:tab/>
          </w:r>
          <w:r>
            <w:fldChar w:fldCharType="begin"/>
          </w:r>
          <w:r>
            <w:instrText xml:space="preserve"> PAGEREF _Toc29692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_Toc30313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1.5.1 </w:t>
          </w:r>
          <w:r>
            <w:rPr>
              <w:rFonts w:hint="eastAsia"/>
              <w:szCs w:val="24"/>
            </w:rPr>
            <w:t>“自</w:t>
          </w:r>
          <w:r>
            <w:rPr>
              <w:szCs w:val="24"/>
            </w:rPr>
            <w:t>费</w:t>
          </w:r>
          <w:r>
            <w:rPr>
              <w:rFonts w:hint="eastAsia"/>
              <w:szCs w:val="24"/>
            </w:rPr>
            <w:t>”</w:t>
          </w:r>
          <w:r>
            <w:rPr>
              <w:szCs w:val="24"/>
            </w:rPr>
            <w:t>金额取值</w:t>
          </w:r>
          <w:r>
            <w:tab/>
          </w:r>
          <w:r>
            <w:fldChar w:fldCharType="begin"/>
          </w:r>
          <w:r>
            <w:instrText xml:space="preserve"> PAGEREF _Toc30313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_Toc15416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zCs w:val="24"/>
              <w:shd w:val="clear" w:color="auto" w:fill="auto"/>
            </w:rPr>
            <w:t xml:space="preserve">1.5.2 </w:t>
          </w:r>
          <w:r>
            <w:rPr>
              <w:rFonts w:hint="eastAsia"/>
              <w:szCs w:val="24"/>
            </w:rPr>
            <w:t>“部</w:t>
          </w:r>
          <w:r>
            <w:rPr>
              <w:szCs w:val="24"/>
            </w:rPr>
            <w:t>分</w:t>
          </w:r>
          <w:r>
            <w:rPr>
              <w:rFonts w:hint="eastAsia"/>
              <w:szCs w:val="24"/>
            </w:rPr>
            <w:t>项</w:t>
          </w:r>
          <w:r>
            <w:rPr>
              <w:szCs w:val="24"/>
            </w:rPr>
            <w:t>目自付</w:t>
          </w:r>
          <w:r>
            <w:rPr>
              <w:rFonts w:hint="eastAsia"/>
              <w:szCs w:val="24"/>
            </w:rPr>
            <w:t>”</w:t>
          </w:r>
          <w:r>
            <w:rPr>
              <w:szCs w:val="24"/>
            </w:rPr>
            <w:t>金额取值</w:t>
          </w:r>
          <w:r>
            <w:tab/>
          </w:r>
          <w:r>
            <w:fldChar w:fldCharType="begin"/>
          </w:r>
          <w:r>
            <w:instrText xml:space="preserve"> PAGEREF _Toc15416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_Toc4027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1.5.3 </w:t>
          </w:r>
          <w:r>
            <w:rPr>
              <w:rFonts w:hint="eastAsia"/>
              <w:szCs w:val="24"/>
            </w:rPr>
            <w:t>结算单</w:t>
          </w:r>
          <w:r>
            <w:rPr>
              <w:szCs w:val="24"/>
            </w:rPr>
            <w:t>表样</w:t>
          </w:r>
          <w:r>
            <w:tab/>
          </w:r>
          <w:r>
            <w:fldChar w:fldCharType="begin"/>
          </w:r>
          <w:r>
            <w:instrText xml:space="preserve"> PAGEREF _Toc4027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_Toc16848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1.6 </w:t>
          </w:r>
          <w:r>
            <w:rPr>
              <w:rFonts w:hint="eastAsia"/>
            </w:rPr>
            <w:t>字</w:t>
          </w:r>
          <w:r>
            <w:t>典表</w:t>
          </w:r>
          <w:r>
            <w:tab/>
          </w:r>
          <w:r>
            <w:fldChar w:fldCharType="begin"/>
          </w:r>
          <w:r>
            <w:instrText xml:space="preserve"> PAGEREF _Toc16848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_Toc4961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Arial" w:hAnsi="Arial" w:eastAsia="黑体"/>
              <w:i w:val="0"/>
            </w:rPr>
            <w:t xml:space="preserve">1.7 </w:t>
          </w:r>
          <w:r>
            <w:rPr>
              <w:rFonts w:hint="eastAsia"/>
            </w:rPr>
            <w:t>常</w:t>
          </w:r>
          <w:r>
            <w:t>见异</w:t>
          </w:r>
          <w:r>
            <w:rPr>
              <w:rFonts w:hint="eastAsia"/>
            </w:rPr>
            <w:t>常</w:t>
          </w:r>
          <w:r>
            <w:tab/>
          </w:r>
          <w:r>
            <w:fldChar w:fldCharType="begin"/>
          </w:r>
          <w:r>
            <w:instrText xml:space="preserve"> PAGEREF _Toc4961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_Toc24108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1.7.1 </w:t>
          </w:r>
          <w:r>
            <w:rPr>
              <w:rFonts w:hint="eastAsia"/>
            </w:rPr>
            <w:t>调用目标服务异常,请联系管理员查</w:t>
          </w:r>
          <w:r>
            <w:tab/>
          </w:r>
          <w:r>
            <w:fldChar w:fldCharType="begin"/>
          </w:r>
          <w:r>
            <w:instrText xml:space="preserve"> PAGEREF _Toc24108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_Toc6789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Times New Roman" w:hAnsi="Times New Roman" w:eastAsia="宋体"/>
              <w:bCs w:val="0"/>
              <w:i w:val="0"/>
              <w:iCs w:val="0"/>
              <w:caps w:val="0"/>
              <w:smallCaps w:val="0"/>
              <w:strike w:val="0"/>
              <w:dstrike w:val="0"/>
              <w:spacing w:val="0"/>
              <w:w w:val="100"/>
              <w:kern w:val="2"/>
              <w:position w:val="0"/>
              <w:shd w:val="clear" w:color="auto" w:fill="auto"/>
            </w:rPr>
            <w:t xml:space="preserve">1.7.2 </w:t>
          </w:r>
          <w:r>
            <w:t xml:space="preserve">JSONArray </w:t>
          </w:r>
          <w:r>
            <w:rPr>
              <w:rFonts w:hint="eastAsia"/>
            </w:rPr>
            <w:t>多行</w:t>
          </w:r>
          <w:r>
            <w:t>入参-格式不规范</w:t>
          </w:r>
          <w:r>
            <w:tab/>
          </w:r>
          <w:r>
            <w:fldChar w:fldCharType="begin"/>
          </w:r>
          <w:r>
            <w:instrText xml:space="preserve"> PAGEREF _Toc6789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_Toc15808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eastAsia="黑体"/>
              <w:snapToGrid w:val="0"/>
            </w:rPr>
            <w:t>附</w:t>
          </w:r>
          <w:r>
            <w:rPr>
              <w:rFonts w:eastAsia="黑体"/>
              <w:snapToGrid w:val="0"/>
            </w:rPr>
            <w:t>件</w:t>
          </w:r>
          <w:r>
            <w:rPr>
              <w:rFonts w:hint="eastAsia" w:eastAsia="黑体"/>
              <w:snapToGrid w:val="0"/>
            </w:rPr>
            <w:t>一</w:t>
          </w:r>
          <w:r>
            <w:rPr>
              <w:rFonts w:eastAsia="黑体"/>
              <w:snapToGrid w:val="0"/>
            </w:rPr>
            <w:t>：</w:t>
          </w:r>
          <w:r>
            <w:rPr>
              <w:rFonts w:hint="eastAsia" w:eastAsia="黑体"/>
              <w:snapToGrid w:val="0"/>
            </w:rPr>
            <w:t>医疗</w:t>
          </w:r>
          <w:r>
            <w:rPr>
              <w:rFonts w:eastAsia="黑体"/>
              <w:snapToGrid w:val="0"/>
            </w:rPr>
            <w:t>类别</w:t>
          </w:r>
          <w:r>
            <w:tab/>
          </w:r>
          <w:r>
            <w:fldChar w:fldCharType="begin"/>
          </w:r>
          <w:r>
            <w:instrText xml:space="preserve"> PAGEREF _Toc15808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_Toc32749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eastAsia="黑体"/>
              <w:snapToGrid w:val="0"/>
            </w:rPr>
            <w:t>附</w:t>
          </w:r>
          <w:r>
            <w:rPr>
              <w:rFonts w:eastAsia="黑体"/>
              <w:snapToGrid w:val="0"/>
            </w:rPr>
            <w:t>件</w:t>
          </w:r>
          <w:r>
            <w:rPr>
              <w:rFonts w:hint="eastAsia" w:eastAsia="黑体"/>
              <w:snapToGrid w:val="0"/>
              <w:lang w:val="en-US" w:eastAsia="zh-CN"/>
            </w:rPr>
            <w:t>二</w:t>
          </w:r>
          <w:r>
            <w:rPr>
              <w:rFonts w:eastAsia="黑体"/>
              <w:snapToGrid w:val="0"/>
            </w:rPr>
            <w:t>：</w:t>
          </w:r>
          <w:r>
            <w:rPr>
              <w:rFonts w:hint="eastAsia" w:eastAsia="黑体"/>
              <w:snapToGrid w:val="0"/>
            </w:rPr>
            <w:t>省</w:t>
          </w:r>
          <w:r>
            <w:rPr>
              <w:rFonts w:eastAsia="黑体"/>
              <w:snapToGrid w:val="0"/>
            </w:rPr>
            <w:t>级</w:t>
          </w:r>
          <w:r>
            <w:rPr>
              <w:rFonts w:hint="eastAsia" w:eastAsia="黑体"/>
              <w:snapToGrid w:val="0"/>
            </w:rPr>
            <w:t>区划</w:t>
          </w:r>
          <w:r>
            <w:rPr>
              <w:rFonts w:eastAsia="黑体"/>
              <w:snapToGrid w:val="0"/>
            </w:rPr>
            <w:t>代码表</w:t>
          </w:r>
          <w:r>
            <w:tab/>
          </w:r>
          <w:r>
            <w:fldChar w:fldCharType="begin"/>
          </w:r>
          <w:r>
            <w:instrText xml:space="preserve"> PAGEREF _Toc32749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_Toc22455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eastAsia="黑体"/>
              <w:snapToGrid w:val="0"/>
            </w:rPr>
            <w:t>附件三：</w:t>
          </w:r>
          <w:r>
            <w:rPr>
              <w:rFonts w:hint="eastAsia" w:eastAsia="黑体"/>
              <w:snapToGrid w:val="0"/>
              <w:lang w:val="en-US" w:eastAsia="zh-CN"/>
            </w:rPr>
            <w:t>特定</w:t>
          </w:r>
          <w:r>
            <w:rPr>
              <w:rFonts w:hint="eastAsia" w:eastAsia="黑体"/>
              <w:snapToGrid w:val="0"/>
            </w:rPr>
            <w:t>病种编码</w:t>
          </w:r>
          <w:r>
            <w:tab/>
          </w:r>
          <w:r>
            <w:fldChar w:fldCharType="begin"/>
          </w:r>
          <w:r>
            <w:instrText xml:space="preserve"> PAGEREF _Toc22455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r>
            <w:rPr>
              <w:bCs/>
              <w:lang w:val="zh-CN"/>
            </w:rPr>
            <w:fldChar w:fldCharType="end"/>
          </w:r>
        </w:p>
      </w:sdtContent>
    </w:sdt>
    <w:p>
      <w:pPr>
        <w:pStyle w:val="2"/>
        <w:pageBreakBefore/>
        <w:numPr>
          <w:ilvl w:val="0"/>
          <w:numId w:val="2"/>
        </w:numPr>
        <w:tabs>
          <w:tab w:val="clear" w:pos="851"/>
        </w:tabs>
        <w:spacing w:before="240" w:after="240" w:line="360" w:lineRule="auto"/>
        <w:ind w:left="432" w:hanging="432"/>
        <w:jc w:val="center"/>
        <w:textAlignment w:val="baseline"/>
        <w:rPr>
          <w:rFonts w:eastAsia="黑体"/>
          <w:snapToGrid w:val="0"/>
          <w:color w:val="000000"/>
          <w:sz w:val="32"/>
        </w:rPr>
      </w:pPr>
      <w:bookmarkStart w:id="1" w:name="_Toc3711"/>
      <w:r>
        <w:rPr>
          <w:rFonts w:hint="eastAsia" w:eastAsia="黑体"/>
          <w:snapToGrid w:val="0"/>
          <w:color w:val="000000"/>
          <w:sz w:val="32"/>
        </w:rPr>
        <w:t>业</w:t>
      </w:r>
      <w:r>
        <w:rPr>
          <w:rFonts w:eastAsia="黑体"/>
          <w:snapToGrid w:val="0"/>
          <w:color w:val="000000"/>
          <w:sz w:val="32"/>
        </w:rPr>
        <w:t>务</w:t>
      </w:r>
      <w:r>
        <w:rPr>
          <w:rFonts w:hint="eastAsia" w:eastAsia="黑体"/>
          <w:snapToGrid w:val="0"/>
          <w:color w:val="000000"/>
          <w:sz w:val="32"/>
        </w:rPr>
        <w:t>指</w:t>
      </w:r>
      <w:r>
        <w:rPr>
          <w:rFonts w:eastAsia="黑体"/>
          <w:snapToGrid w:val="0"/>
          <w:color w:val="000000"/>
          <w:sz w:val="32"/>
        </w:rPr>
        <w:t>引</w:t>
      </w:r>
      <w:bookmarkEnd w:id="1"/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2" w:name="_Toc12218"/>
      <w:r>
        <w:rPr>
          <w:rFonts w:hint="eastAsia"/>
          <w:color w:val="000000"/>
          <w:sz w:val="28"/>
        </w:rPr>
        <w:t>通</w:t>
      </w:r>
      <w:r>
        <w:rPr>
          <w:color w:val="000000"/>
          <w:sz w:val="28"/>
        </w:rPr>
        <w:t>用</w:t>
      </w:r>
      <w:r>
        <w:rPr>
          <w:rFonts w:hint="eastAsia"/>
          <w:color w:val="000000"/>
          <w:sz w:val="28"/>
        </w:rPr>
        <w:t>规则</w:t>
      </w:r>
      <w:r>
        <w:rPr>
          <w:color w:val="000000"/>
          <w:sz w:val="28"/>
        </w:rPr>
        <w:t>说明</w:t>
      </w:r>
      <w:bookmarkEnd w:id="2"/>
    </w:p>
    <w:p>
      <w:pPr>
        <w:pStyle w:val="4"/>
        <w:numPr>
          <w:ilvl w:val="2"/>
          <w:numId w:val="2"/>
        </w:numPr>
        <w:spacing w:before="240" w:after="120" w:line="360" w:lineRule="atLeast"/>
        <w:rPr>
          <w:sz w:val="24"/>
          <w:szCs w:val="24"/>
        </w:rPr>
      </w:pPr>
      <w:bookmarkStart w:id="3" w:name="_Toc3255"/>
      <w:r>
        <w:rPr>
          <w:rFonts w:hint="eastAsia"/>
          <w:sz w:val="24"/>
          <w:szCs w:val="24"/>
        </w:rPr>
        <w:t>系统</w:t>
      </w:r>
      <w:r>
        <w:rPr>
          <w:sz w:val="24"/>
          <w:szCs w:val="24"/>
        </w:rPr>
        <w:t>技术</w:t>
      </w:r>
      <w:r>
        <w:rPr>
          <w:rFonts w:hint="eastAsia"/>
          <w:sz w:val="24"/>
          <w:szCs w:val="24"/>
        </w:rPr>
        <w:t>交流</w:t>
      </w:r>
      <w:r>
        <w:rPr>
          <w:sz w:val="24"/>
          <w:szCs w:val="24"/>
        </w:rPr>
        <w:t>QQ群</w:t>
      </w:r>
      <w:bookmarkEnd w:id="3"/>
    </w:p>
    <w:p>
      <w:pPr>
        <w:spacing w:line="360" w:lineRule="auto"/>
      </w:pPr>
      <w:r>
        <w:rPr>
          <w:rFonts w:hint="eastAsia"/>
        </w:rPr>
        <w:t>关</w:t>
      </w:r>
      <w:r>
        <w:t>于医保系统接口相关问题，请加入</w:t>
      </w:r>
      <w:r>
        <w:rPr>
          <w:rFonts w:hint="eastAsia"/>
        </w:rPr>
        <w:t>QQ</w:t>
      </w:r>
      <w:r>
        <w:t>群进行提问：</w:t>
      </w:r>
    </w:p>
    <w:p>
      <w:pPr>
        <w:spacing w:line="360" w:lineRule="auto"/>
        <w:rPr>
          <w:rFonts w:hint="eastAsia"/>
          <w:b/>
        </w:rPr>
      </w:pPr>
      <w:r>
        <w:rPr>
          <w:rFonts w:hint="eastAsia"/>
        </w:rPr>
        <w:t>群</w:t>
      </w:r>
      <w:r>
        <w:t>号：</w:t>
      </w:r>
      <w:r>
        <w:rPr>
          <w:rFonts w:hint="eastAsia"/>
          <w:b/>
        </w:rPr>
        <w:t>970568890</w:t>
      </w:r>
      <w:r>
        <w:rPr>
          <w:rFonts w:hint="eastAsia"/>
        </w:rPr>
        <w:t>群</w:t>
      </w:r>
      <w:r>
        <w:t>名称：</w:t>
      </w:r>
      <w:r>
        <w:rPr>
          <w:rFonts w:hint="eastAsia"/>
          <w:b/>
        </w:rPr>
        <w:t>惠州市定点药店</w:t>
      </w:r>
    </w:p>
    <w:p>
      <w:pPr>
        <w:pStyle w:val="4"/>
        <w:numPr>
          <w:ilvl w:val="2"/>
          <w:numId w:val="2"/>
        </w:numPr>
        <w:spacing w:before="240" w:after="120" w:line="360" w:lineRule="atLeast"/>
        <w:rPr>
          <w:sz w:val="24"/>
          <w:szCs w:val="24"/>
        </w:rPr>
      </w:pPr>
      <w:bookmarkStart w:id="4" w:name="_Toc25571"/>
      <w:r>
        <w:rPr>
          <w:rFonts w:hint="eastAsia"/>
          <w:sz w:val="24"/>
          <w:szCs w:val="24"/>
        </w:rPr>
        <w:t>接</w:t>
      </w:r>
      <w:r>
        <w:rPr>
          <w:sz w:val="24"/>
          <w:szCs w:val="24"/>
        </w:rPr>
        <w:t>口</w:t>
      </w:r>
      <w:r>
        <w:rPr>
          <w:rFonts w:hint="eastAsia"/>
          <w:sz w:val="24"/>
          <w:szCs w:val="24"/>
        </w:rPr>
        <w:t>访问</w:t>
      </w:r>
      <w:r>
        <w:rPr>
          <w:sz w:val="24"/>
          <w:szCs w:val="24"/>
        </w:rPr>
        <w:t>地址</w:t>
      </w:r>
      <w:bookmarkEnd w:id="4"/>
    </w:p>
    <w:tbl>
      <w:tblPr>
        <w:tblStyle w:val="14"/>
        <w:tblW w:w="935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4111"/>
        <w:gridCol w:w="1559"/>
        <w:gridCol w:w="28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1" w:type="dxa"/>
            <w:shd w:val="clear" w:color="auto" w:fill="BEBEBE" w:themeFill="background1" w:themeFillShade="BF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环</w:t>
            </w:r>
            <w:r>
              <w:rPr>
                <w:b/>
              </w:rPr>
              <w:t>境</w:t>
            </w:r>
          </w:p>
        </w:tc>
        <w:tc>
          <w:tcPr>
            <w:tcW w:w="4111" w:type="dxa"/>
            <w:shd w:val="clear" w:color="auto" w:fill="BEBEBE" w:themeFill="background1" w:themeFillShade="BF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地</w:t>
            </w:r>
            <w:r>
              <w:rPr>
                <w:b/>
              </w:rPr>
              <w:t>址</w:t>
            </w:r>
          </w:p>
        </w:tc>
        <w:tc>
          <w:tcPr>
            <w:tcW w:w="1559" w:type="dxa"/>
            <w:shd w:val="clear" w:color="auto" w:fill="BEBEBE" w:themeFill="background1" w:themeFillShade="BF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应</w:t>
            </w:r>
            <w:r>
              <w:rPr>
                <w:b/>
              </w:rPr>
              <w:t>用账号</w:t>
            </w:r>
          </w:p>
        </w:tc>
        <w:tc>
          <w:tcPr>
            <w:tcW w:w="2835" w:type="dxa"/>
            <w:shd w:val="clear" w:color="auto" w:fill="BEBEBE" w:themeFill="background1" w:themeFillShade="BF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密钥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</w:tcPr>
          <w:p>
            <w:r>
              <w:rPr>
                <w:rFonts w:hint="eastAsia"/>
              </w:rPr>
              <w:t>测</w:t>
            </w:r>
            <w:r>
              <w:t>试</w:t>
            </w:r>
          </w:p>
        </w:tc>
        <w:tc>
          <w:tcPr>
            <w:tcW w:w="4111" w:type="dxa"/>
          </w:tcPr>
          <w:p>
            <w:r>
              <w:t>http://igb.hsa.gdgov.cn/</w:t>
            </w:r>
            <w:r>
              <w:rPr>
                <w:rFonts w:ascii="新宋体" w:eastAsia="新宋体" w:cs="新宋体"/>
                <w:kern w:val="0"/>
                <w:sz w:val="19"/>
                <w:szCs w:val="19"/>
              </w:rPr>
              <w:t>ebus/gdyb_inf/poc/hsa/hgs</w:t>
            </w:r>
            <w:r>
              <w:rPr>
                <w:rFonts w:hint="eastAsia"/>
              </w:rPr>
              <w:t>/&lt;功</w:t>
            </w:r>
            <w:r>
              <w:t>能号</w:t>
            </w:r>
            <w:r>
              <w:rPr>
                <w:rFonts w:hint="eastAsia"/>
              </w:rPr>
              <w:t>&gt;</w:t>
            </w:r>
          </w:p>
        </w:tc>
        <w:tc>
          <w:tcPr>
            <w:tcW w:w="1559" w:type="dxa"/>
          </w:tcPr>
          <w:p>
            <w:r>
              <w:rPr>
                <w:rFonts w:hint="eastAsia"/>
              </w:rPr>
              <w:t>huizhou_test_hosp</w:t>
            </w:r>
          </w:p>
        </w:tc>
        <w:tc>
          <w:tcPr>
            <w:tcW w:w="2835" w:type="dxa"/>
          </w:tcPr>
          <w:p>
            <w:r>
              <w:rPr>
                <w:rFonts w:hint="eastAsia"/>
              </w:rPr>
              <w:t>RpJlXUajV7tbSBbLKy92LVqgD65qFNgk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dxa"/>
            <w:shd w:val="clear" w:color="auto" w:fill="FEF2CC" w:themeFill="accent4" w:themeFillTint="33"/>
          </w:tcPr>
          <w:p>
            <w:r>
              <w:rPr>
                <w:rFonts w:hint="eastAsia"/>
              </w:rPr>
              <w:t>正</w:t>
            </w:r>
            <w:r>
              <w:t>式</w:t>
            </w:r>
          </w:p>
        </w:tc>
        <w:tc>
          <w:tcPr>
            <w:tcW w:w="4111" w:type="dxa"/>
            <w:shd w:val="clear" w:color="auto" w:fill="FEF2CC" w:themeFill="accent4" w:themeFillTint="33"/>
          </w:tcPr>
          <w:p>
            <w:r>
              <w:t>http://igb.hsa.gdgov.cn/ebus/gdyb_api/prd/hsa/hgs</w:t>
            </w:r>
            <w:r>
              <w:rPr>
                <w:rFonts w:hint="eastAsia"/>
              </w:rPr>
              <w:t>/&lt;功</w:t>
            </w:r>
            <w:r>
              <w:t>能号</w:t>
            </w:r>
            <w:r>
              <w:rPr>
                <w:rFonts w:hint="eastAsia"/>
              </w:rPr>
              <w:t>&gt;</w:t>
            </w:r>
          </w:p>
        </w:tc>
        <w:tc>
          <w:tcPr>
            <w:tcW w:w="1559" w:type="dxa"/>
            <w:shd w:val="clear" w:color="auto" w:fill="FEF2CC" w:themeFill="accent4" w:themeFillTint="33"/>
          </w:tcPr>
          <w:p>
            <w:r>
              <w:rPr>
                <w:rFonts w:hint="eastAsia"/>
              </w:rPr>
              <w:t>向</w:t>
            </w:r>
            <w:r>
              <w:t>医保局申请</w:t>
            </w:r>
          </w:p>
        </w:tc>
        <w:tc>
          <w:tcPr>
            <w:tcW w:w="2835" w:type="dxa"/>
            <w:shd w:val="clear" w:color="auto" w:fill="FEF2CC" w:themeFill="accent4" w:themeFillTint="33"/>
          </w:tcPr>
          <w:p>
            <w:r>
              <w:rPr>
                <w:rFonts w:hint="eastAsia"/>
              </w:rPr>
              <w:t>向</w:t>
            </w:r>
            <w:r>
              <w:t>医保局申请</w:t>
            </w:r>
          </w:p>
        </w:tc>
      </w:tr>
    </w:tbl>
    <w:p/>
    <w:p>
      <w:pPr>
        <w:pStyle w:val="26"/>
        <w:numPr>
          <w:ilvl w:val="0"/>
          <w:numId w:val="3"/>
        </w:numPr>
        <w:ind w:firstLineChars="0"/>
        <w:rPr>
          <w:b/>
        </w:rPr>
      </w:pPr>
      <w:r>
        <w:rPr>
          <w:rFonts w:hint="eastAsia"/>
          <w:b/>
        </w:rPr>
        <w:t>网</w:t>
      </w:r>
      <w:r>
        <w:rPr>
          <w:b/>
        </w:rPr>
        <w:t>络</w:t>
      </w:r>
    </w:p>
    <w:p>
      <w:pPr>
        <w:pStyle w:val="26"/>
        <w:ind w:left="420" w:firstLine="0" w:firstLineChars="0"/>
      </w:pPr>
      <w:r>
        <w:rPr>
          <w:rFonts w:hint="eastAsia"/>
        </w:rPr>
        <w:t>网</w:t>
      </w:r>
      <w:r>
        <w:t>络如何接入，请医院联系自己的网络运</w:t>
      </w:r>
      <w:r>
        <w:rPr>
          <w:rFonts w:hint="eastAsia"/>
        </w:rPr>
        <w:t>营</w:t>
      </w:r>
      <w:r>
        <w:t>商；</w:t>
      </w:r>
    </w:p>
    <w:p>
      <w:pPr>
        <w:pStyle w:val="26"/>
        <w:ind w:left="420" w:firstLine="0" w:firstLineChars="0"/>
        <w:rPr>
          <w:b/>
        </w:rPr>
      </w:pPr>
    </w:p>
    <w:p>
      <w:pPr>
        <w:pStyle w:val="26"/>
        <w:numPr>
          <w:ilvl w:val="0"/>
          <w:numId w:val="3"/>
        </w:numPr>
        <w:ind w:firstLineChars="0"/>
        <w:rPr>
          <w:b/>
        </w:rPr>
      </w:pPr>
      <w:r>
        <w:rPr>
          <w:rFonts w:hint="eastAsia"/>
          <w:b/>
        </w:rPr>
        <w:t>修改操作系统hosts文件：</w:t>
      </w:r>
    </w:p>
    <w:p>
      <w:r>
        <w:rPr>
          <w:rFonts w:hint="eastAsia"/>
        </w:rPr>
        <w:t>文件位置：c:\windows\system32\drivers\etc\hosts 在最后一行增</w:t>
      </w:r>
      <w:r>
        <w:t>加</w:t>
      </w:r>
      <w:r>
        <w:rPr>
          <w:rFonts w:hint="eastAsia"/>
        </w:rPr>
        <w:t>一</w:t>
      </w:r>
      <w:r>
        <w:t>行，如下：</w:t>
      </w:r>
    </w:p>
    <w:p>
      <w:r>
        <w:rPr>
          <w:rFonts w:hint="eastAsia"/>
        </w:rPr>
        <w:t>10.97.240.206 igb.hsa.gdgov.cn</w:t>
      </w:r>
    </w:p>
    <w:p/>
    <w:p>
      <w:pPr>
        <w:pStyle w:val="26"/>
        <w:numPr>
          <w:ilvl w:val="0"/>
          <w:numId w:val="3"/>
        </w:numPr>
        <w:ind w:firstLineChars="0"/>
      </w:pPr>
      <w:r>
        <w:rPr>
          <w:rFonts w:hint="eastAsia"/>
          <w:b/>
        </w:rPr>
        <w:t>浏览器打开</w:t>
      </w:r>
    </w:p>
    <w:p>
      <w:r>
        <w:rPr>
          <w:rFonts w:hint="eastAsia"/>
        </w:rPr>
        <w:t>测试地址：https://igb.hsa.gdgov.cn/ebus/gdyb_inf/poc/hsa/hgs/1101</w:t>
      </w:r>
    </w:p>
    <w:p>
      <w:r>
        <w:rPr>
          <w:rFonts w:hint="eastAsia"/>
        </w:rPr>
        <w:t>浏览器显示：{"errcode":"ACG.1401","errmsg":"此接口需要登录后才能访问"} 代表正常</w:t>
      </w:r>
    </w:p>
    <w:p>
      <w:pPr>
        <w:pStyle w:val="4"/>
        <w:numPr>
          <w:ilvl w:val="2"/>
          <w:numId w:val="2"/>
        </w:numPr>
        <w:spacing w:before="240" w:after="120" w:line="360" w:lineRule="atLeast"/>
        <w:rPr>
          <w:color w:val="000000"/>
          <w:sz w:val="24"/>
          <w:szCs w:val="24"/>
        </w:rPr>
      </w:pPr>
      <w:bookmarkStart w:id="5" w:name="_Toc17248"/>
      <w:bookmarkStart w:id="6" w:name="_险种类型获取"/>
      <w:r>
        <w:rPr>
          <w:rFonts w:hint="eastAsia"/>
          <w:sz w:val="24"/>
          <w:szCs w:val="24"/>
        </w:rPr>
        <w:t>险种</w:t>
      </w:r>
      <w:r>
        <w:rPr>
          <w:sz w:val="24"/>
          <w:szCs w:val="24"/>
        </w:rPr>
        <w:t>类型</w:t>
      </w:r>
      <w:r>
        <w:rPr>
          <w:color w:val="000000"/>
          <w:sz w:val="24"/>
          <w:szCs w:val="24"/>
        </w:rPr>
        <w:t>获取</w:t>
      </w:r>
      <w:bookmarkEnd w:id="5"/>
    </w:p>
    <w:bookmarkEnd w:id="6"/>
    <w:p>
      <w:pPr>
        <w:spacing w:line="360" w:lineRule="auto"/>
        <w:ind w:left="340"/>
      </w:pPr>
      <w:r>
        <w:rPr>
          <w:rFonts w:hint="eastAsia"/>
        </w:rPr>
        <w:t>新系统接口办理</w:t>
      </w:r>
      <w:r>
        <w:t>相关业务的时候都需要</w:t>
      </w:r>
      <w:r>
        <w:rPr>
          <w:rFonts w:hint="eastAsia"/>
        </w:rPr>
        <w:t>选择</w:t>
      </w:r>
      <w:r>
        <w:t>【</w:t>
      </w:r>
      <w:r>
        <w:rPr>
          <w:rFonts w:hint="eastAsia"/>
        </w:rPr>
        <w:t>险</w:t>
      </w:r>
      <w:r>
        <w:t>种类型】入参， 在改造</w:t>
      </w:r>
      <w:r>
        <w:rPr>
          <w:rFonts w:hint="eastAsia"/>
        </w:rPr>
        <w:t>接</w:t>
      </w:r>
      <w:r>
        <w:t>口</w:t>
      </w:r>
      <w:r>
        <w:rPr>
          <w:rFonts w:hint="eastAsia"/>
        </w:rPr>
        <w:t>时</w:t>
      </w:r>
      <w:r>
        <w:t>如何选择</w:t>
      </w:r>
      <w:r>
        <w:rPr>
          <w:rFonts w:hint="eastAsia"/>
        </w:rPr>
        <w:t>。</w:t>
      </w:r>
      <w:r>
        <w:t>我们可以通过以下方</w:t>
      </w:r>
      <w:r>
        <w:rPr>
          <w:rFonts w:hint="eastAsia"/>
        </w:rPr>
        <w:t>法</w:t>
      </w:r>
      <w:r>
        <w:t>来获取</w:t>
      </w:r>
      <w:r>
        <w:rPr>
          <w:rFonts w:hint="eastAsia"/>
        </w:rPr>
        <w:t>：</w:t>
      </w:r>
    </w:p>
    <w:p>
      <w:pPr>
        <w:pStyle w:val="26"/>
        <w:numPr>
          <w:ilvl w:val="0"/>
          <w:numId w:val="4"/>
        </w:numPr>
        <w:tabs>
          <w:tab w:val="left" w:pos="424"/>
        </w:tabs>
        <w:spacing w:line="360" w:lineRule="auto"/>
        <w:ind w:firstLineChars="0"/>
      </w:pPr>
      <w:r>
        <w:rPr>
          <w:rFonts w:hint="eastAsia"/>
        </w:rPr>
        <w:tab/>
      </w:r>
      <w:r>
        <w:rPr>
          <w:rFonts w:hint="eastAsia"/>
        </w:rPr>
        <w:t>先通</w:t>
      </w:r>
      <w:r>
        <w:t>过</w:t>
      </w:r>
      <w:r>
        <w:rPr>
          <w:rFonts w:hint="eastAsia"/>
        </w:rPr>
        <w:t>身份</w:t>
      </w:r>
      <w:r>
        <w:t>证号</w:t>
      </w:r>
      <w:r>
        <w:rPr>
          <w:rFonts w:hint="eastAsia"/>
        </w:rPr>
        <w:t>调用</w:t>
      </w:r>
      <w:r>
        <w:t>【1101</w:t>
      </w:r>
      <w:r>
        <w:rPr>
          <w:rFonts w:hint="eastAsia"/>
        </w:rPr>
        <w:t>-人</w:t>
      </w:r>
      <w:r>
        <w:t>员</w:t>
      </w:r>
      <w:r>
        <w:rPr>
          <w:rFonts w:hint="eastAsia"/>
        </w:rPr>
        <w:t>信息</w:t>
      </w:r>
      <w:r>
        <w:t>查询】</w:t>
      </w:r>
      <w:r>
        <w:rPr>
          <w:rFonts w:hint="eastAsia"/>
        </w:rPr>
        <w:t>获</w:t>
      </w:r>
      <w:r>
        <w:t>取</w:t>
      </w:r>
      <w:r>
        <w:rPr>
          <w:rFonts w:hint="eastAsia"/>
        </w:rPr>
        <w:t>到</w:t>
      </w:r>
      <w:r>
        <w:t>当前参保人的参保</w:t>
      </w:r>
      <w:r>
        <w:rPr>
          <w:rFonts w:hint="eastAsia"/>
        </w:rPr>
        <w:t>信息列</w:t>
      </w:r>
      <w:r>
        <w:t>表信息</w:t>
      </w:r>
      <w:r>
        <w:rPr>
          <w:rFonts w:hint="eastAsia"/>
        </w:rPr>
        <w:t>；</w:t>
      </w:r>
    </w:p>
    <w:p>
      <w:pPr>
        <w:pStyle w:val="26"/>
        <w:numPr>
          <w:ilvl w:val="0"/>
          <w:numId w:val="4"/>
        </w:numPr>
        <w:spacing w:line="360" w:lineRule="auto"/>
        <w:ind w:firstLineChars="0"/>
      </w:pPr>
      <w:r>
        <w:rPr>
          <w:rFonts w:hint="eastAsia"/>
        </w:rPr>
        <w:t>在【1101-人</w:t>
      </w:r>
      <w:r>
        <w:t>员信息查询</w:t>
      </w:r>
      <w:r>
        <w:rPr>
          <w:rFonts w:hint="eastAsia"/>
        </w:rPr>
        <w:t>】返</w:t>
      </w:r>
      <w:r>
        <w:t>回的</w:t>
      </w:r>
      <w:r>
        <w:rPr>
          <w:rFonts w:hint="eastAsia"/>
        </w:rPr>
        <w:t>“参保信息</w:t>
      </w:r>
      <w:r>
        <w:t>列表</w:t>
      </w:r>
      <w:r>
        <w:rPr>
          <w:rFonts w:hint="eastAsia"/>
        </w:rPr>
        <w:t>”中判断人</w:t>
      </w:r>
      <w:r>
        <w:t>员参</w:t>
      </w:r>
      <w:r>
        <w:rPr>
          <w:rFonts w:hint="eastAsia"/>
        </w:rPr>
        <w:t>保</w:t>
      </w:r>
      <w:r>
        <w:t>状态（psn_insu_stas=1）</w:t>
      </w:r>
      <w:r>
        <w:rPr>
          <w:rFonts w:hint="eastAsia"/>
        </w:rPr>
        <w:t>为正</w:t>
      </w:r>
      <w:r>
        <w:t>常</w:t>
      </w:r>
      <w:r>
        <w:rPr>
          <w:rFonts w:hint="eastAsia"/>
        </w:rPr>
        <w:t>的</w:t>
      </w:r>
      <w:r>
        <w:t>参保险种；</w:t>
      </w:r>
    </w:p>
    <w:p>
      <w:pPr>
        <w:pStyle w:val="26"/>
        <w:numPr>
          <w:ilvl w:val="0"/>
          <w:numId w:val="4"/>
        </w:numPr>
        <w:spacing w:line="360" w:lineRule="auto"/>
        <w:ind w:firstLineChars="0"/>
      </w:pPr>
      <w:r>
        <w:t>险种类型只需要判断</w:t>
      </w:r>
      <w:r>
        <w:rPr>
          <w:rFonts w:hint="eastAsia"/>
        </w:rPr>
        <w:t>以</w:t>
      </w:r>
      <w:r>
        <w:t>下几种</w:t>
      </w:r>
      <w:r>
        <w:rPr>
          <w:rFonts w:hint="eastAsia"/>
        </w:rPr>
        <w:t>险</w:t>
      </w:r>
      <w:r>
        <w:t>种代码，</w:t>
      </w:r>
      <w:r>
        <w:rPr>
          <w:rFonts w:hint="eastAsia"/>
        </w:rPr>
        <w:t>取正常的险</w:t>
      </w:r>
      <w:r>
        <w:t>种代码</w:t>
      </w:r>
      <w:r>
        <w:rPr>
          <w:rFonts w:hint="eastAsia"/>
        </w:rPr>
        <w:t>，</w:t>
      </w:r>
      <w:r>
        <w:t>如下：</w:t>
      </w:r>
    </w:p>
    <w:tbl>
      <w:tblPr>
        <w:tblStyle w:val="14"/>
        <w:tblW w:w="8802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2410"/>
        <w:gridCol w:w="46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  <w:shd w:val="clear" w:color="auto" w:fill="D0CECE" w:themeFill="background2" w:themeFillShade="E6"/>
          </w:tcPr>
          <w:p>
            <w:pPr>
              <w:pStyle w:val="26"/>
              <w:spacing w:line="360" w:lineRule="auto"/>
              <w:ind w:firstLine="0" w:firstLineChars="0"/>
              <w:rPr>
                <w:b/>
              </w:rPr>
            </w:pPr>
            <w:r>
              <w:rPr>
                <w:rFonts w:hint="eastAsia"/>
                <w:b/>
              </w:rPr>
              <w:t>险</w:t>
            </w:r>
            <w:r>
              <w:rPr>
                <w:b/>
              </w:rPr>
              <w:t>种代码</w:t>
            </w:r>
            <w:r>
              <w:rPr>
                <w:rFonts w:hint="eastAsia"/>
                <w:b/>
              </w:rPr>
              <w:t>（类</w:t>
            </w:r>
            <w:r>
              <w:rPr>
                <w:b/>
              </w:rPr>
              <w:t>型）</w:t>
            </w:r>
          </w:p>
        </w:tc>
        <w:tc>
          <w:tcPr>
            <w:tcW w:w="2410" w:type="dxa"/>
            <w:shd w:val="clear" w:color="auto" w:fill="D0CECE" w:themeFill="background2" w:themeFillShade="E6"/>
          </w:tcPr>
          <w:p>
            <w:pPr>
              <w:pStyle w:val="26"/>
              <w:spacing w:line="360" w:lineRule="auto"/>
              <w:ind w:firstLine="0" w:firstLineChars="0"/>
              <w:rPr>
                <w:b/>
              </w:rPr>
            </w:pPr>
            <w:r>
              <w:rPr>
                <w:rFonts w:hint="eastAsia"/>
                <w:b/>
              </w:rPr>
              <w:t>代</w:t>
            </w:r>
            <w:r>
              <w:rPr>
                <w:b/>
              </w:rPr>
              <w:t>码名称</w:t>
            </w:r>
          </w:p>
        </w:tc>
        <w:tc>
          <w:tcPr>
            <w:tcW w:w="4691" w:type="dxa"/>
            <w:shd w:val="clear" w:color="auto" w:fill="D0CECE" w:themeFill="background2" w:themeFillShade="E6"/>
          </w:tcPr>
          <w:p>
            <w:pPr>
              <w:pStyle w:val="26"/>
              <w:spacing w:line="360" w:lineRule="auto"/>
              <w:ind w:firstLine="0" w:firstLineChars="0"/>
              <w:rPr>
                <w:b/>
              </w:rPr>
            </w:pPr>
            <w:r>
              <w:rPr>
                <w:rFonts w:hint="eastAsia"/>
                <w:b/>
              </w:rPr>
              <w:t>业</w:t>
            </w:r>
            <w:r>
              <w:rPr>
                <w:b/>
              </w:rPr>
              <w:t>务</w:t>
            </w:r>
            <w:r>
              <w:rPr>
                <w:rFonts w:hint="eastAsia"/>
                <w:b/>
              </w:rPr>
              <w:t>判断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6" w:hRule="atLeast"/>
        </w:trPr>
        <w:tc>
          <w:tcPr>
            <w:tcW w:w="1701" w:type="dxa"/>
          </w:tcPr>
          <w:p>
            <w:pPr>
              <w:pStyle w:val="26"/>
              <w:spacing w:line="360" w:lineRule="auto"/>
              <w:ind w:firstLine="0" w:firstLineChars="0"/>
            </w:pPr>
            <w:r>
              <w:rPr>
                <w:rFonts w:hint="eastAsia"/>
              </w:rPr>
              <w:t>310</w:t>
            </w:r>
          </w:p>
        </w:tc>
        <w:tc>
          <w:tcPr>
            <w:tcW w:w="2410" w:type="dxa"/>
          </w:tcPr>
          <w:p>
            <w:pPr>
              <w:pStyle w:val="26"/>
              <w:spacing w:line="360" w:lineRule="auto"/>
              <w:ind w:firstLine="0" w:firstLineChars="0"/>
            </w:pPr>
            <w:r>
              <w:rPr>
                <w:rFonts w:hint="eastAsia"/>
              </w:rPr>
              <w:t>职工基本医疗保险</w:t>
            </w:r>
          </w:p>
        </w:tc>
        <w:tc>
          <w:tcPr>
            <w:tcW w:w="4691" w:type="dxa"/>
            <w:vMerge w:val="restart"/>
          </w:tcPr>
          <w:p>
            <w:pPr>
              <w:pStyle w:val="26"/>
              <w:spacing w:line="360" w:lineRule="auto"/>
              <w:ind w:firstLine="0" w:firstLineChars="0"/>
            </w:pPr>
            <w:r>
              <w:rPr>
                <w:rFonts w:hint="eastAsia"/>
              </w:rPr>
              <w:t>1、</w:t>
            </w:r>
            <w:r>
              <w:rPr>
                <w:rFonts w:hint="eastAsia"/>
                <w:lang w:val="en-US" w:eastAsia="zh-CN"/>
              </w:rPr>
              <w:t>一般</w:t>
            </w:r>
            <w:r>
              <w:rPr>
                <w:rFonts w:hint="eastAsia"/>
              </w:rPr>
              <w:t>业务的险种类型，只需区分310和390即可。</w:t>
            </w:r>
            <w:r>
              <w:t>依次判断</w:t>
            </w:r>
            <w:r>
              <w:rPr>
                <w:rFonts w:hint="eastAsia"/>
              </w:rPr>
              <w:t>310和390险</w:t>
            </w:r>
            <w:r>
              <w:t>种，取</w:t>
            </w:r>
            <w:r>
              <w:rPr>
                <w:rFonts w:hint="eastAsia"/>
              </w:rPr>
              <w:t>其</w:t>
            </w:r>
            <w:r>
              <w:t>中</w:t>
            </w:r>
            <w:r>
              <w:rPr>
                <w:rFonts w:hint="eastAsia"/>
              </w:rPr>
              <w:t>参保</w:t>
            </w:r>
            <w:r>
              <w:t>状态为正常的险种</w:t>
            </w:r>
            <w:r>
              <w:rPr>
                <w:rFonts w:hint="eastAsia"/>
              </w:rPr>
              <w:t>（psn_insu_stas=1</w:t>
            </w:r>
            <w:r>
              <w:t xml:space="preserve"> </w:t>
            </w:r>
            <w:r>
              <w:rPr>
                <w:rFonts w:hint="eastAsia"/>
              </w:rPr>
              <w:t>表</w:t>
            </w:r>
            <w:r>
              <w:t>示</w:t>
            </w:r>
            <w:r>
              <w:rPr>
                <w:rFonts w:hint="eastAsia"/>
              </w:rPr>
              <w:t>险</w:t>
            </w:r>
            <w:r>
              <w:t>种正</w:t>
            </w:r>
            <w:r>
              <w:rPr>
                <w:rFonts w:hint="eastAsia"/>
              </w:rPr>
              <w:t>常）；</w:t>
            </w:r>
          </w:p>
          <w:p>
            <w:pPr>
              <w:pStyle w:val="26"/>
              <w:spacing w:line="360" w:lineRule="auto"/>
              <w:ind w:firstLine="0" w:firstLineChars="0"/>
            </w:pPr>
            <w:r>
              <w:t>2</w:t>
            </w:r>
            <w:r>
              <w:rPr>
                <w:rFonts w:hint="eastAsia"/>
              </w:rPr>
              <w:t>、如</w:t>
            </w:r>
            <w:r>
              <w:t>果</w:t>
            </w:r>
            <w:r>
              <w:rPr>
                <w:rFonts w:hint="eastAsia"/>
              </w:rPr>
              <w:t>出</w:t>
            </w:r>
            <w:r>
              <w:t>现</w:t>
            </w:r>
            <w:r>
              <w:rPr>
                <w:rFonts w:hint="eastAsia"/>
              </w:rPr>
              <w:t>多个</w:t>
            </w:r>
            <w:r>
              <w:t>参保状态都为正常，</w:t>
            </w:r>
            <w:r>
              <w:rPr>
                <w:rFonts w:hint="eastAsia"/>
              </w:rPr>
              <w:t>优先</w:t>
            </w:r>
            <w:r>
              <w:t>取</w:t>
            </w:r>
            <w:r>
              <w:rPr>
                <w:rFonts w:hint="eastAsia"/>
              </w:rPr>
              <w:t>310</w:t>
            </w:r>
            <w:r>
              <w:t>（</w:t>
            </w:r>
            <w:r>
              <w:rPr>
                <w:rFonts w:hint="eastAsia"/>
              </w:rPr>
              <w:t>此情况</w:t>
            </w:r>
            <w:r>
              <w:t>一般不存在</w:t>
            </w:r>
            <w:r>
              <w:rPr>
                <w:rFonts w:hint="eastAsia"/>
              </w:rPr>
              <w:t>）；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5" w:hRule="atLeast"/>
        </w:trPr>
        <w:tc>
          <w:tcPr>
            <w:tcW w:w="1701" w:type="dxa"/>
          </w:tcPr>
          <w:p>
            <w:pPr>
              <w:pStyle w:val="26"/>
              <w:spacing w:line="360" w:lineRule="auto"/>
              <w:ind w:firstLine="0" w:firstLineChars="0"/>
            </w:pPr>
            <w:r>
              <w:rPr>
                <w:rFonts w:hint="eastAsia"/>
              </w:rPr>
              <w:t>390</w:t>
            </w:r>
          </w:p>
        </w:tc>
        <w:tc>
          <w:tcPr>
            <w:tcW w:w="2410" w:type="dxa"/>
          </w:tcPr>
          <w:p>
            <w:pPr>
              <w:pStyle w:val="26"/>
              <w:spacing w:line="360" w:lineRule="auto"/>
              <w:ind w:firstLine="0" w:firstLineChars="0"/>
            </w:pPr>
            <w:r>
              <w:rPr>
                <w:rFonts w:hint="eastAsia"/>
              </w:rPr>
              <w:t>城乡居民基本医疗保险</w:t>
            </w:r>
          </w:p>
        </w:tc>
        <w:tc>
          <w:tcPr>
            <w:tcW w:w="4691" w:type="dxa"/>
            <w:vMerge w:val="continue"/>
          </w:tcPr>
          <w:p>
            <w:pPr>
              <w:pStyle w:val="26"/>
              <w:spacing w:line="360" w:lineRule="auto"/>
              <w:ind w:firstLine="0" w:firstLineChars="0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5" w:hRule="atLeast"/>
        </w:trPr>
        <w:tc>
          <w:tcPr>
            <w:tcW w:w="1701" w:type="dxa"/>
          </w:tcPr>
          <w:p>
            <w:pPr>
              <w:pStyle w:val="26"/>
              <w:spacing w:line="360" w:lineRule="auto"/>
              <w:ind w:firstLine="0" w:firstLineChars="0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340</w:t>
            </w:r>
          </w:p>
        </w:tc>
        <w:tc>
          <w:tcPr>
            <w:tcW w:w="2410" w:type="dxa"/>
          </w:tcPr>
          <w:p>
            <w:pPr>
              <w:pStyle w:val="26"/>
              <w:spacing w:line="360" w:lineRule="auto"/>
              <w:ind w:firstLine="0" w:firstLineChars="0"/>
              <w:rPr>
                <w:rFonts w:hint="eastAsia"/>
              </w:rPr>
            </w:pPr>
            <w:r>
              <w:rPr>
                <w:sz w:val="18"/>
                <w:szCs w:val="18"/>
              </w:rPr>
              <w:t>离休人员医疗保障</w:t>
            </w:r>
          </w:p>
        </w:tc>
        <w:tc>
          <w:tcPr>
            <w:tcW w:w="4691" w:type="dxa"/>
          </w:tcPr>
          <w:p>
            <w:pPr>
              <w:pStyle w:val="26"/>
              <w:spacing w:line="360" w:lineRule="auto"/>
              <w:ind w:firstLine="0" w:firstLineChars="0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特殊情况下，当参保人是离休人员时，险种需要上传340。通过</w:t>
            </w:r>
            <w:r>
              <w:rPr>
                <w:rFonts w:hint="eastAsia"/>
              </w:rPr>
              <w:t>【1101-人</w:t>
            </w:r>
            <w:r>
              <w:t>员信息查询</w:t>
            </w:r>
            <w:r>
              <w:rPr>
                <w:rFonts w:hint="eastAsia"/>
              </w:rPr>
              <w:t>】</w:t>
            </w:r>
            <w:r>
              <w:rPr>
                <w:rFonts w:hint="eastAsia"/>
                <w:lang w:val="en-US" w:eastAsia="zh-CN"/>
              </w:rPr>
              <w:t>可查询出参保人的险种信息。</w:t>
            </w:r>
          </w:p>
        </w:tc>
      </w:tr>
    </w:tbl>
    <w:p>
      <w:bookmarkStart w:id="7" w:name="_【可选】查询个人就医资料信息[1001]"/>
      <w:bookmarkEnd w:id="7"/>
      <w:bookmarkStart w:id="8" w:name="_生育的住院医疗类别"/>
    </w:p>
    <w:bookmarkEnd w:id="8"/>
    <w:p>
      <w:pPr>
        <w:pStyle w:val="4"/>
        <w:numPr>
          <w:ilvl w:val="2"/>
          <w:numId w:val="2"/>
        </w:numPr>
        <w:spacing w:before="240" w:after="120" w:line="360" w:lineRule="atLeast"/>
        <w:rPr>
          <w:color w:val="000000"/>
          <w:sz w:val="28"/>
        </w:rPr>
      </w:pPr>
      <w:bookmarkStart w:id="9" w:name="_Toc10136"/>
      <w:r>
        <w:rPr>
          <w:rFonts w:hint="eastAsia"/>
          <w:color w:val="000000"/>
          <w:sz w:val="28"/>
        </w:rPr>
        <w:t>费</w:t>
      </w:r>
      <w:r>
        <w:rPr>
          <w:color w:val="000000"/>
          <w:sz w:val="28"/>
        </w:rPr>
        <w:t>用明细上传</w:t>
      </w:r>
      <w:bookmarkEnd w:id="9"/>
    </w:p>
    <w:p>
      <w:pPr>
        <w:pStyle w:val="26"/>
        <w:numPr>
          <w:ilvl w:val="0"/>
          <w:numId w:val="5"/>
        </w:numPr>
        <w:spacing w:line="360" w:lineRule="auto"/>
        <w:ind w:firstLineChars="0"/>
      </w:pPr>
      <w:r>
        <w:rPr>
          <w:rFonts w:hint="eastAsia"/>
        </w:rPr>
        <w:t>药</w:t>
      </w:r>
      <w:r>
        <w:t>店、门诊和住院</w:t>
      </w:r>
      <w:r>
        <w:rPr>
          <w:rFonts w:hint="eastAsia"/>
        </w:rPr>
        <w:t>的</w:t>
      </w:r>
      <w:r>
        <w:t>费用</w:t>
      </w:r>
      <w:r>
        <w:rPr>
          <w:rFonts w:hint="eastAsia"/>
        </w:rPr>
        <w:t>费</w:t>
      </w:r>
      <w:r>
        <w:t>用明细上传</w:t>
      </w:r>
      <w:r>
        <w:rPr>
          <w:rFonts w:hint="eastAsia"/>
        </w:rPr>
        <w:t>接</w:t>
      </w:r>
      <w:r>
        <w:t>口的入参代码</w:t>
      </w:r>
      <w:r>
        <w:rPr>
          <w:b/>
        </w:rPr>
        <w:t>“</w:t>
      </w:r>
      <w:r>
        <w:rPr>
          <w:rFonts w:hint="eastAsia"/>
          <w:b/>
        </w:rPr>
        <w:t>费用明细流水号（</w:t>
      </w:r>
      <w:r>
        <w:rPr>
          <w:b/>
        </w:rPr>
        <w:t>feedetl_sn</w:t>
      </w:r>
      <w:r>
        <w:rPr>
          <w:rFonts w:hint="eastAsia"/>
          <w:b/>
        </w:rPr>
        <w:t>）</w:t>
      </w:r>
      <w:r>
        <w:rPr>
          <w:b/>
        </w:rPr>
        <w:t>”</w:t>
      </w:r>
      <w:r>
        <w:rPr>
          <w:rFonts w:hint="eastAsia"/>
        </w:rPr>
        <w:t xml:space="preserve"> 在单笔就诊内唯一，</w:t>
      </w:r>
      <w:r>
        <w:t>不允许重复；</w:t>
      </w:r>
    </w:p>
    <w:p>
      <w:pPr>
        <w:pStyle w:val="26"/>
        <w:numPr>
          <w:ilvl w:val="0"/>
          <w:numId w:val="5"/>
        </w:numPr>
        <w:spacing w:line="360" w:lineRule="auto"/>
        <w:ind w:firstLineChars="0"/>
      </w:pPr>
      <w:r>
        <w:rPr>
          <w:rFonts w:hint="eastAsia"/>
        </w:rPr>
        <w:t>门</w:t>
      </w:r>
      <w:r>
        <w:t>诊</w:t>
      </w:r>
      <w:r>
        <w:rPr>
          <w:rFonts w:hint="eastAsia"/>
        </w:rPr>
        <w:t>费</w:t>
      </w:r>
      <w:r>
        <w:t>用</w:t>
      </w:r>
      <w:r>
        <w:rPr>
          <w:rFonts w:hint="eastAsia"/>
        </w:rPr>
        <w:t>明</w:t>
      </w:r>
      <w:r>
        <w:t>细上传</w:t>
      </w:r>
      <w:r>
        <w:rPr>
          <w:rFonts w:hint="eastAsia"/>
        </w:rPr>
        <w:t>需</w:t>
      </w:r>
      <w:r>
        <w:t>要上传</w:t>
      </w:r>
      <w:r>
        <w:rPr>
          <w:rFonts w:hint="eastAsia"/>
        </w:rPr>
        <w:t>入参</w:t>
      </w:r>
      <w:r>
        <w:t>代码</w:t>
      </w:r>
      <w:r>
        <w:rPr>
          <w:b/>
        </w:rPr>
        <w:t>“</w:t>
      </w:r>
      <w:r>
        <w:rPr>
          <w:rFonts w:hint="eastAsia"/>
          <w:b/>
        </w:rPr>
        <w:t>收费批次号（</w:t>
      </w:r>
      <w:r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chrg_bchno</w:t>
      </w:r>
      <w:r>
        <w:rPr>
          <w:b/>
        </w:rPr>
        <w:t>）”</w:t>
      </w:r>
      <w:r>
        <w:rPr>
          <w:rFonts w:hint="eastAsia"/>
          <w:b/>
        </w:rPr>
        <w:t>，</w:t>
      </w:r>
      <w:r>
        <w:rPr>
          <w:rFonts w:hint="eastAsia"/>
        </w:rPr>
        <w:t>调</w:t>
      </w:r>
      <w:r>
        <w:t>用门诊结算时也要录入对应的</w:t>
      </w:r>
      <w:r>
        <w:rPr>
          <w:b/>
        </w:rPr>
        <w:t>“</w:t>
      </w:r>
      <w:r>
        <w:rPr>
          <w:rFonts w:hint="eastAsia"/>
          <w:b/>
        </w:rPr>
        <w:t>收费批次号</w:t>
      </w:r>
      <w:r>
        <w:rPr>
          <w:b/>
        </w:rPr>
        <w:t>”</w:t>
      </w:r>
      <w:r>
        <w:rPr>
          <w:rFonts w:hint="eastAsia"/>
          <w:b/>
        </w:rPr>
        <w:t>；</w:t>
      </w:r>
      <w:r>
        <w:rPr>
          <w:rFonts w:hint="eastAsia"/>
        </w:rPr>
        <w:t>如</w:t>
      </w:r>
      <w:r>
        <w:t>果</w:t>
      </w:r>
      <w:r>
        <w:rPr>
          <w:rFonts w:hint="eastAsia"/>
        </w:rPr>
        <w:t>结算时</w:t>
      </w:r>
      <w:r>
        <w:t>录错</w:t>
      </w:r>
      <w:r>
        <w:rPr>
          <w:rFonts w:hint="eastAsia"/>
        </w:rPr>
        <w:t>了“收</w:t>
      </w:r>
      <w:r>
        <w:t>费批次号</w:t>
      </w:r>
      <w:r>
        <w:rPr>
          <w:rFonts w:hint="eastAsia"/>
        </w:rPr>
        <w:t>”</w:t>
      </w:r>
      <w:r>
        <w:t>，系统会提示找不到费用明细；</w:t>
      </w:r>
    </w:p>
    <w:p>
      <w:pPr>
        <w:pStyle w:val="26"/>
        <w:numPr>
          <w:ilvl w:val="0"/>
          <w:numId w:val="5"/>
        </w:numPr>
        <w:spacing w:line="360" w:lineRule="auto"/>
        <w:ind w:firstLineChars="0"/>
      </w:pPr>
      <w:r>
        <w:rPr>
          <w:rFonts w:hint="eastAsia"/>
        </w:rPr>
        <w:t>费</w:t>
      </w:r>
      <w:r>
        <w:t>用明细上传中对</w:t>
      </w:r>
      <w:r>
        <w:rPr>
          <w:rFonts w:hint="eastAsia"/>
        </w:rPr>
        <w:t>应</w:t>
      </w:r>
      <w:r>
        <w:rPr>
          <w:b/>
        </w:rPr>
        <w:t>“</w:t>
      </w:r>
      <w:r>
        <w:rPr>
          <w:rFonts w:hint="eastAsia"/>
          <w:b/>
        </w:rPr>
        <w:t>限制</w:t>
      </w:r>
      <w:r>
        <w:rPr>
          <w:b/>
        </w:rPr>
        <w:t>性用药标志”</w:t>
      </w:r>
      <w:r>
        <w:rPr>
          <w:rFonts w:hint="eastAsia"/>
        </w:rPr>
        <w:t>入</w:t>
      </w:r>
      <w:r>
        <w:t>参</w:t>
      </w:r>
      <w:r>
        <w:rPr>
          <w:rFonts w:hint="eastAsia"/>
        </w:rPr>
        <w:t>代</w:t>
      </w:r>
      <w:r>
        <w:t>码为“</w:t>
      </w:r>
      <w:r>
        <w:rPr>
          <w:rFonts w:hint="eastAsia"/>
        </w:rPr>
        <w:t>医院审批标志（</w:t>
      </w:r>
      <w:r>
        <w:t>hosp_appr_flag）”</w:t>
      </w:r>
      <w:r>
        <w:rPr>
          <w:rFonts w:hint="eastAsia"/>
        </w:rPr>
        <w:t>，</w:t>
      </w:r>
      <w:r>
        <w:t>入参</w:t>
      </w:r>
      <w:r>
        <w:rPr>
          <w:rFonts w:hint="eastAsia"/>
        </w:rPr>
        <w:t>要</w:t>
      </w:r>
      <w:r>
        <w:t>求如下：</w:t>
      </w:r>
    </w:p>
    <w:p>
      <w:pPr>
        <w:pStyle w:val="26"/>
        <w:numPr>
          <w:ilvl w:val="0"/>
          <w:numId w:val="6"/>
        </w:numPr>
        <w:ind w:firstLineChars="0"/>
      </w:pPr>
      <w:r>
        <w:rPr>
          <w:rFonts w:hint="eastAsia"/>
          <w:b/>
        </w:rPr>
        <w:t>药品=</w:t>
      </w:r>
      <w:r>
        <w:rPr>
          <w:b/>
        </w:rPr>
        <w:t>限制性用药目录：</w:t>
      </w:r>
      <w:r>
        <w:br w:type="textWrapping"/>
      </w:r>
      <w:r>
        <w:t>医院上传了限制性用药标识1，按目录比例进行报销。如果传了0，按自费报销处理；</w:t>
      </w:r>
    </w:p>
    <w:p>
      <w:pPr>
        <w:pStyle w:val="26"/>
        <w:numPr>
          <w:ilvl w:val="0"/>
          <w:numId w:val="6"/>
        </w:numPr>
        <w:ind w:firstLineChars="0"/>
      </w:pPr>
      <w:r>
        <w:rPr>
          <w:rFonts w:hint="eastAsia"/>
          <w:b/>
        </w:rPr>
        <w:t>药品=</w:t>
      </w:r>
      <w:r>
        <w:rPr>
          <w:b/>
        </w:rPr>
        <w:t>非限制性用药目录:</w:t>
      </w:r>
      <w:r>
        <w:br w:type="textWrapping"/>
      </w:r>
      <w:r>
        <w:t>不管传0或1 都按目录比例进行报销</w:t>
      </w:r>
    </w:p>
    <w:p>
      <w:pPr>
        <w:pStyle w:val="26"/>
        <w:ind w:left="780" w:firstLine="0" w:firstLineChars="0"/>
      </w:pPr>
    </w:p>
    <w:p>
      <w:pPr>
        <w:pStyle w:val="4"/>
        <w:numPr>
          <w:ilvl w:val="2"/>
          <w:numId w:val="2"/>
        </w:numPr>
        <w:spacing w:before="240" w:after="120" w:line="360" w:lineRule="atLeast"/>
        <w:rPr>
          <w:color w:val="000000"/>
          <w:sz w:val="28"/>
        </w:rPr>
      </w:pPr>
      <w:bookmarkStart w:id="10" w:name="_Toc7637"/>
      <w:r>
        <w:rPr>
          <w:rFonts w:hint="eastAsia"/>
          <w:color w:val="000000"/>
          <w:sz w:val="28"/>
        </w:rPr>
        <w:t>诊</w:t>
      </w:r>
      <w:r>
        <w:rPr>
          <w:color w:val="000000"/>
          <w:sz w:val="28"/>
        </w:rPr>
        <w:t>断信息上传</w:t>
      </w:r>
      <w:bookmarkEnd w:id="10"/>
    </w:p>
    <w:p>
      <w:pPr>
        <w:pStyle w:val="26"/>
        <w:numPr>
          <w:ilvl w:val="0"/>
          <w:numId w:val="7"/>
        </w:numPr>
        <w:spacing w:line="360" w:lineRule="auto"/>
        <w:ind w:firstLineChars="0"/>
      </w:pPr>
      <w:r>
        <w:rPr>
          <w:rFonts w:hint="eastAsia"/>
        </w:rPr>
        <w:t>【2203-门诊就诊信息上传</w:t>
      </w:r>
      <w:r>
        <w:t>】</w:t>
      </w:r>
      <w:r>
        <w:rPr>
          <w:rFonts w:hint="eastAsia"/>
          <w:lang w:eastAsia="zh-CN"/>
        </w:rPr>
        <w:t>、</w:t>
      </w:r>
      <w:r>
        <w:rPr>
          <w:rFonts w:hint="eastAsia"/>
        </w:rPr>
        <w:t>【2203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-门诊就诊信息上传</w:t>
      </w:r>
      <w:r>
        <w:t>】</w:t>
      </w:r>
      <w:r>
        <w:rPr>
          <w:rFonts w:hint="eastAsia"/>
          <w:lang w:eastAsia="zh-CN"/>
        </w:rPr>
        <w:t>、</w:t>
      </w:r>
      <w:r>
        <w:rPr>
          <w:rFonts w:hint="eastAsia"/>
        </w:rPr>
        <w:t>【2401-入院办理】两个</w:t>
      </w:r>
      <w:r>
        <w:t>接口中</w:t>
      </w:r>
      <w:r>
        <w:rPr>
          <w:rFonts w:hint="eastAsia"/>
        </w:rPr>
        <w:t>的“诊断信息（diseinfo</w:t>
      </w:r>
      <w:r>
        <w:t>）</w:t>
      </w:r>
      <w:r>
        <w:rPr>
          <w:rFonts w:hint="eastAsia"/>
        </w:rPr>
        <w:t>”为</w:t>
      </w:r>
      <w:r>
        <w:t>多行入参</w:t>
      </w:r>
      <w:r>
        <w:rPr>
          <w:rFonts w:hint="eastAsia"/>
        </w:rPr>
        <w:t>；</w:t>
      </w:r>
      <w:r>
        <w:t>其中，</w:t>
      </w:r>
      <w:r>
        <w:rPr>
          <w:rFonts w:hint="eastAsia"/>
        </w:rPr>
        <w:t xml:space="preserve"> “主诊断（maindiag_flag=1）” 只能也</w:t>
      </w:r>
      <w:r>
        <w:t>必需</w:t>
      </w:r>
      <w:r>
        <w:rPr>
          <w:rFonts w:hint="eastAsia"/>
        </w:rPr>
        <w:t>存在一条；其他诊断为“副诊断（maindiag_flag=0）”，</w:t>
      </w:r>
      <w:r>
        <w:t>可以一条或多条</w:t>
      </w:r>
      <w:r>
        <w:rPr>
          <w:rFonts w:hint="eastAsia"/>
        </w:rPr>
        <w:t>；</w:t>
      </w:r>
    </w:p>
    <w:p>
      <w:pPr>
        <w:pStyle w:val="26"/>
        <w:numPr>
          <w:ilvl w:val="0"/>
          <w:numId w:val="7"/>
        </w:numPr>
        <w:spacing w:line="360" w:lineRule="auto"/>
        <w:ind w:firstLineChars="0"/>
      </w:pPr>
      <w:r>
        <w:rPr>
          <w:rFonts w:hint="eastAsia"/>
        </w:rPr>
        <w:t>诊</w:t>
      </w:r>
      <w:r>
        <w:t>断和手术请见《</w:t>
      </w:r>
      <w:r>
        <w:rPr>
          <w:rFonts w:hint="eastAsia"/>
        </w:rPr>
        <w:t>附件文档五：ICD10_ICD9（疾病、手术）.xlsx</w:t>
      </w:r>
      <w:r>
        <w:t>》</w:t>
      </w:r>
    </w:p>
    <w:p>
      <w:pPr>
        <w:ind w:left="360"/>
      </w:pPr>
    </w:p>
    <w:p>
      <w:pPr>
        <w:pStyle w:val="4"/>
        <w:numPr>
          <w:ilvl w:val="2"/>
          <w:numId w:val="2"/>
        </w:numPr>
        <w:spacing w:before="240" w:after="120" w:line="360" w:lineRule="atLeast"/>
        <w:rPr>
          <w:color w:val="000000"/>
          <w:sz w:val="28"/>
        </w:rPr>
      </w:pPr>
      <w:bookmarkStart w:id="11" w:name="_Toc4509"/>
      <w:r>
        <w:rPr>
          <w:rFonts w:hint="eastAsia"/>
          <w:color w:val="000000"/>
          <w:sz w:val="28"/>
        </w:rPr>
        <w:t>金额</w:t>
      </w:r>
      <w:r>
        <w:rPr>
          <w:color w:val="000000"/>
          <w:sz w:val="28"/>
        </w:rPr>
        <w:t>运算</w:t>
      </w:r>
      <w:r>
        <w:rPr>
          <w:rFonts w:hint="eastAsia"/>
          <w:color w:val="000000"/>
          <w:sz w:val="28"/>
        </w:rPr>
        <w:t>要</w:t>
      </w:r>
      <w:r>
        <w:rPr>
          <w:color w:val="000000"/>
          <w:sz w:val="28"/>
        </w:rPr>
        <w:t>求</w:t>
      </w:r>
      <w:bookmarkEnd w:id="11"/>
    </w:p>
    <w:p>
      <w:pPr>
        <w:pStyle w:val="26"/>
        <w:numPr>
          <w:ilvl w:val="0"/>
          <w:numId w:val="8"/>
        </w:numPr>
        <w:spacing w:line="360" w:lineRule="auto"/>
        <w:ind w:firstLineChars="0"/>
      </w:pPr>
      <w:r>
        <w:rPr>
          <w:rFonts w:hint="eastAsia"/>
        </w:rPr>
        <w:t>新系统的</w:t>
      </w:r>
      <w:r>
        <w:t>费用明细费用计算</w:t>
      </w:r>
      <w:r>
        <w:rPr>
          <w:rFonts w:hint="eastAsia"/>
        </w:rPr>
        <w:t>：单价会四舍五入，小数位保留3位，再来乘于数量得</w:t>
      </w:r>
      <w:r>
        <w:t>出</w:t>
      </w:r>
      <w:r>
        <w:rPr>
          <w:rFonts w:hint="eastAsia"/>
        </w:rPr>
        <w:t>“明细项目费用总额</w:t>
      </w:r>
      <w:r>
        <w:t>”</w:t>
      </w:r>
      <w:r>
        <w:rPr>
          <w:rFonts w:hint="eastAsia"/>
        </w:rPr>
        <w:t>，</w:t>
      </w:r>
      <w:r>
        <w:t>“</w:t>
      </w:r>
      <w:r>
        <w:rPr>
          <w:rFonts w:hint="eastAsia"/>
        </w:rPr>
        <w:t>明细项目费用总额”会</w:t>
      </w:r>
      <w:r>
        <w:t>再</w:t>
      </w:r>
      <w:r>
        <w:rPr>
          <w:rFonts w:hint="eastAsia"/>
        </w:rPr>
        <w:t>进</w:t>
      </w:r>
      <w:r>
        <w:t>行</w:t>
      </w:r>
      <w:r>
        <w:rPr>
          <w:rFonts w:hint="eastAsia"/>
        </w:rPr>
        <w:t>四舍</w:t>
      </w:r>
      <w:r>
        <w:t>五入</w:t>
      </w:r>
      <w:r>
        <w:rPr>
          <w:rFonts w:hint="eastAsia"/>
        </w:rPr>
        <w:t>保留2位小数。在结算环节录入的【医疗费总额】要跟前面计算</w:t>
      </w:r>
      <w:r>
        <w:t>出来</w:t>
      </w:r>
      <w:r>
        <w:rPr>
          <w:rFonts w:hint="eastAsia"/>
        </w:rPr>
        <w:t>的“明细项目费用总额”合</w:t>
      </w:r>
      <w:r>
        <w:t>计</w:t>
      </w:r>
      <w:r>
        <w:rPr>
          <w:rFonts w:hint="eastAsia"/>
        </w:rPr>
        <w:t>汇</w:t>
      </w:r>
      <w:r>
        <w:t>总</w:t>
      </w:r>
      <w:r>
        <w:rPr>
          <w:rFonts w:hint="eastAsia"/>
        </w:rPr>
        <w:t>金额一致，不</w:t>
      </w:r>
      <w:r>
        <w:t>能相</w:t>
      </w:r>
      <w:r>
        <w:rPr>
          <w:rFonts w:hint="eastAsia"/>
        </w:rPr>
        <w:t>差</w:t>
      </w:r>
      <w:r>
        <w:t>一分钱</w:t>
      </w:r>
      <w:r>
        <w:rPr>
          <w:rFonts w:hint="eastAsia"/>
        </w:rPr>
        <w:t>。</w:t>
      </w:r>
    </w:p>
    <w:p>
      <w:pPr>
        <w:pStyle w:val="26"/>
        <w:numPr>
          <w:ilvl w:val="0"/>
          <w:numId w:val="8"/>
        </w:numPr>
        <w:spacing w:line="360" w:lineRule="auto"/>
        <w:ind w:firstLineChars="0"/>
      </w:pPr>
      <w:r>
        <w:rPr>
          <w:rFonts w:hint="eastAsia"/>
        </w:rPr>
        <w:t>建议</w:t>
      </w:r>
      <w:r>
        <w:t>医院HIS</w:t>
      </w:r>
      <w:r>
        <w:rPr>
          <w:rFonts w:hint="eastAsia"/>
        </w:rPr>
        <w:t>上</w:t>
      </w:r>
      <w:r>
        <w:t>传的明细金额</w:t>
      </w:r>
      <w:r>
        <w:rPr>
          <w:rFonts w:hint="eastAsia"/>
        </w:rPr>
        <w:t>的</w:t>
      </w:r>
      <w:r>
        <w:t>单价以</w:t>
      </w:r>
      <w:r>
        <w:rPr>
          <w:rFonts w:hint="eastAsia"/>
        </w:rPr>
        <w:t>3位</w:t>
      </w:r>
      <w:r>
        <w:t>小数传入明细上传接口。</w:t>
      </w:r>
    </w:p>
    <w:p>
      <w:pPr>
        <w:pStyle w:val="4"/>
        <w:numPr>
          <w:ilvl w:val="2"/>
          <w:numId w:val="2"/>
        </w:numPr>
        <w:spacing w:before="240" w:after="120" w:line="360" w:lineRule="atLeast"/>
        <w:rPr>
          <w:color w:val="000000"/>
          <w:sz w:val="28"/>
        </w:rPr>
      </w:pPr>
      <w:bookmarkStart w:id="12" w:name="_Toc13626"/>
      <w:r>
        <w:rPr>
          <w:rFonts w:hint="eastAsia"/>
          <w:color w:val="000000"/>
          <w:sz w:val="28"/>
        </w:rPr>
        <w:t>发</w:t>
      </w:r>
      <w:r>
        <w:rPr>
          <w:color w:val="000000"/>
          <w:sz w:val="28"/>
        </w:rPr>
        <w:t>票显示“</w:t>
      </w:r>
      <w:r>
        <w:rPr>
          <w:rFonts w:hint="eastAsia"/>
          <w:color w:val="000000"/>
          <w:sz w:val="28"/>
        </w:rPr>
        <w:t>自</w:t>
      </w:r>
      <w:r>
        <w:rPr>
          <w:color w:val="000000"/>
          <w:sz w:val="28"/>
        </w:rPr>
        <w:t>付金额”</w:t>
      </w:r>
      <w:bookmarkEnd w:id="12"/>
    </w:p>
    <w:p>
      <w:pPr>
        <w:pStyle w:val="26"/>
        <w:numPr>
          <w:ilvl w:val="0"/>
          <w:numId w:val="9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部分参保人需要凭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票上面的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付金额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回去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单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位”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报销，但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结算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接口没有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返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回单独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的“自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付金额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”，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自付金额计算公式如下：</w:t>
      </w:r>
    </w:p>
    <w:p>
      <w:pPr>
        <w:spacing w:line="360" w:lineRule="auto"/>
        <w:ind w:firstLine="36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自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付金额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= 医疗费总额 - 基金支付总额 - 全自费金额 - 超限价自费费用 - 先行自付金额</w:t>
      </w:r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13" w:name="_Toc1585"/>
      <w:r>
        <w:rPr>
          <w:rFonts w:hint="eastAsia"/>
          <w:color w:val="000000"/>
          <w:sz w:val="28"/>
        </w:rPr>
        <w:t>非</w:t>
      </w:r>
      <w:r>
        <w:rPr>
          <w:color w:val="000000"/>
          <w:sz w:val="28"/>
        </w:rPr>
        <w:t>中国大</w:t>
      </w:r>
      <w:r>
        <w:rPr>
          <w:rFonts w:hint="eastAsia"/>
          <w:color w:val="000000"/>
          <w:sz w:val="28"/>
        </w:rPr>
        <w:t>陆</w:t>
      </w:r>
      <w:r>
        <w:rPr>
          <w:color w:val="000000"/>
          <w:sz w:val="28"/>
        </w:rPr>
        <w:t>公民身份证人员</w:t>
      </w:r>
      <w:r>
        <w:rPr>
          <w:rFonts w:hint="eastAsia"/>
          <w:color w:val="000000"/>
          <w:sz w:val="28"/>
        </w:rPr>
        <w:t>资料</w:t>
      </w:r>
      <w:r>
        <w:rPr>
          <w:color w:val="000000"/>
          <w:sz w:val="28"/>
        </w:rPr>
        <w:t>获取</w:t>
      </w:r>
      <w:bookmarkEnd w:id="13"/>
    </w:p>
    <w:p>
      <w:pPr>
        <w:pStyle w:val="26"/>
        <w:numPr>
          <w:ilvl w:val="0"/>
          <w:numId w:val="10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非中国大陆公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身份证，包括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限于：香港、澳门、台湾、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国等等地区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国家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人员证件号码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，本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文档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简称“外籍号码”；</w:t>
      </w:r>
    </w:p>
    <w:p>
      <w:pPr>
        <w:pStyle w:val="26"/>
        <w:numPr>
          <w:ilvl w:val="0"/>
          <w:numId w:val="10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调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用【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1101-人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员信息查询】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获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取人员编号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入参要求如下：</w:t>
      </w:r>
    </w:p>
    <w:p>
      <w:pPr>
        <w:pStyle w:val="26"/>
        <w:numPr>
          <w:ilvl w:val="0"/>
          <w:numId w:val="11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就诊凭证类型（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mdtrt_cert_type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）=</w:t>
      </w: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“</w:t>
      </w:r>
      <w:r>
        <w:rPr>
          <w:rFonts w:hint="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99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pStyle w:val="26"/>
        <w:numPr>
          <w:ilvl w:val="0"/>
          <w:numId w:val="11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就诊凭证编号（</w:t>
      </w:r>
      <w:r>
        <w:rPr>
          <w:rFonts w:hint="eastAsia" w:hAnsiTheme="minor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m</w:t>
      </w:r>
      <w:r>
        <w:rPr>
          <w:rFonts w:hAnsiTheme="minor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dtrt_cert_no</w:t>
      </w:r>
      <w:r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=“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外籍号码”（例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：香港的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外籍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号码：HKG001058514）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pStyle w:val="26"/>
        <w:numPr>
          <w:ilvl w:val="0"/>
          <w:numId w:val="11"/>
        </w:numPr>
        <w:spacing w:line="360" w:lineRule="auto"/>
        <w:ind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证件号码（</w:t>
      </w:r>
      <w:r>
        <w:rPr>
          <w:rFonts w:hint="default" w:ascii="Courier New" w:hAnsi="Courier New"/>
          <w:color w:val="DC143C"/>
          <w:sz w:val="20"/>
        </w:rPr>
        <w:t>certno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=“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外籍号码”</w:t>
      </w:r>
    </w:p>
    <w:p>
      <w:pPr>
        <w:pStyle w:val="26"/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如图所示</w:t>
      </w:r>
    </w:p>
    <w:p>
      <w:pPr>
        <w:pStyle w:val="26"/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7325" cy="3239135"/>
            <wp:effectExtent l="0" t="0" r="9525" b="18415"/>
            <wp:docPr id="4" name="图片 4" descr="2d088942759927a5ee8621eb88f6c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d088942759927a5ee8621eb88f6c6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</w:t>
      </w:r>
      <w:r>
        <w:rPr>
          <w:rFonts w:hint="eastAsia"/>
          <w:lang w:val="en-US" w:eastAsia="zh-CN"/>
        </w:rPr>
        <w:t>特殊情况：</w:t>
      </w:r>
    </w:p>
    <w:p>
      <w:pPr>
        <w:widowControl w:val="0"/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参保人为港澳台及外籍人员，但社保卡上是中国大陆身份证号，如下图</w:t>
      </w:r>
    </w:p>
    <w:p>
      <w:pPr>
        <w:pStyle w:val="26"/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3467100" cy="5981700"/>
            <wp:effectExtent l="0" t="0" r="7620" b="762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这种情况下，用大陆身份证去获取参保信息可能会找不到参保信息的，她只有一个香港身份证</w:t>
      </w:r>
      <w:r>
        <w:rPr>
          <w:rFonts w:hint="default" w:ascii="Courier New" w:hAnsi="Courier New"/>
          <w:color w:val="0000FF"/>
          <w:sz w:val="20"/>
        </w:rPr>
        <w:t>H60386899</w:t>
      </w:r>
      <w:r>
        <w:rPr>
          <w:rFonts w:hint="eastAsia"/>
          <w:lang w:val="en-US" w:eastAsia="zh-CN"/>
        </w:rPr>
        <w:t>，用上面介绍的方法去获取人员参保信息也是不行的，我们需要对身份证进行一些处理。</w:t>
      </w:r>
    </w:p>
    <w:p>
      <w:pPr>
        <w:widowControl w:val="0"/>
        <w:numPr>
          <w:ilvl w:val="0"/>
          <w:numId w:val="0"/>
        </w:numPr>
        <w:ind w:firstLine="420" w:firstLineChars="0"/>
        <w:jc w:val="left"/>
        <w:rPr>
          <w:color w:val="FF0000"/>
        </w:rPr>
      </w:pPr>
      <w:r>
        <w:rPr>
          <w:rFonts w:hint="eastAsia"/>
          <w:lang w:val="en-US" w:eastAsia="zh-CN"/>
        </w:rPr>
        <w:t>首先，将H改为HKG，就变为</w:t>
      </w:r>
      <w:r>
        <w:rPr>
          <w:rFonts w:hint="default" w:ascii="Courier New" w:hAnsi="Courier New"/>
          <w:color w:val="0000FF"/>
          <w:sz w:val="20"/>
        </w:rPr>
        <w:t>H</w:t>
      </w:r>
      <w:r>
        <w:rPr>
          <w:rFonts w:hint="eastAsia" w:ascii="Courier New" w:hAnsi="Courier New"/>
          <w:color w:val="0000FF"/>
          <w:sz w:val="20"/>
          <w:lang w:val="en-US" w:eastAsia="zh-CN"/>
        </w:rPr>
        <w:t>KG</w:t>
      </w:r>
      <w:r>
        <w:rPr>
          <w:rFonts w:hint="default" w:ascii="Courier New" w:hAnsi="Courier New"/>
          <w:color w:val="0000FF"/>
          <w:sz w:val="20"/>
        </w:rPr>
        <w:t>60386899</w:t>
      </w:r>
      <w:r>
        <w:rPr>
          <w:rFonts w:hint="eastAsia"/>
          <w:lang w:val="en-US" w:eastAsia="zh-CN"/>
        </w:rPr>
        <w:t>；然后，在HKG后面补个0，变为</w:t>
      </w:r>
      <w:r>
        <w:rPr>
          <w:rFonts w:hint="default" w:ascii="Courier New" w:hAnsi="Courier New"/>
          <w:color w:val="0000FF"/>
          <w:sz w:val="20"/>
        </w:rPr>
        <w:t>H</w:t>
      </w:r>
      <w:r>
        <w:rPr>
          <w:rFonts w:hint="eastAsia" w:ascii="Courier New" w:hAnsi="Courier New"/>
          <w:color w:val="0000FF"/>
          <w:sz w:val="20"/>
          <w:lang w:val="en-US" w:eastAsia="zh-CN"/>
        </w:rPr>
        <w:t>KG0</w:t>
      </w:r>
      <w:r>
        <w:rPr>
          <w:rFonts w:hint="default" w:ascii="Courier New" w:hAnsi="Courier New"/>
          <w:color w:val="0000FF"/>
          <w:sz w:val="20"/>
        </w:rPr>
        <w:t>60386899</w:t>
      </w:r>
      <w:r>
        <w:rPr>
          <w:rFonts w:hint="eastAsia"/>
          <w:lang w:val="en-US" w:eastAsia="zh-CN"/>
        </w:rPr>
        <w:t>。</w:t>
      </w:r>
      <w:bookmarkStart w:id="14" w:name="_特殊人员身份获取"/>
      <w:bookmarkEnd w:id="14"/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15" w:name="_Toc30167"/>
      <w:r>
        <w:rPr>
          <w:rFonts w:hint="eastAsia"/>
          <w:color w:val="000000"/>
          <w:sz w:val="28"/>
          <w:lang w:val="en-US" w:eastAsia="zh-CN"/>
        </w:rPr>
        <w:t>药店</w:t>
      </w:r>
      <w:r>
        <w:rPr>
          <w:rFonts w:hint="eastAsia"/>
          <w:color w:val="000000"/>
          <w:sz w:val="28"/>
        </w:rPr>
        <w:t>业</w:t>
      </w:r>
      <w:r>
        <w:rPr>
          <w:color w:val="000000"/>
          <w:sz w:val="28"/>
        </w:rPr>
        <w:t>务</w:t>
      </w:r>
      <w:bookmarkEnd w:id="15"/>
    </w:p>
    <w:p>
      <w:pPr>
        <w:pStyle w:val="4"/>
        <w:numPr>
          <w:ilvl w:val="2"/>
          <w:numId w:val="2"/>
        </w:numPr>
        <w:spacing w:before="240" w:after="120" w:line="360" w:lineRule="atLeast"/>
        <w:rPr>
          <w:sz w:val="24"/>
          <w:szCs w:val="24"/>
        </w:rPr>
      </w:pPr>
      <w:bookmarkStart w:id="16" w:name="_Toc32120"/>
      <w:r>
        <w:rPr>
          <w:rFonts w:hint="eastAsia"/>
          <w:sz w:val="24"/>
          <w:szCs w:val="24"/>
          <w:lang w:eastAsia="zh-CN"/>
        </w:rPr>
        <w:t>定点药店</w:t>
      </w:r>
      <w:r>
        <w:rPr>
          <w:rFonts w:hint="eastAsia"/>
          <w:sz w:val="24"/>
          <w:szCs w:val="24"/>
        </w:rPr>
        <w:t>购药</w:t>
      </w:r>
      <w:r>
        <w:rPr>
          <w:rFonts w:hint="eastAsia"/>
          <w:sz w:val="24"/>
          <w:szCs w:val="24"/>
          <w:lang w:eastAsia="zh-CN"/>
        </w:rPr>
        <w:t>（刷个账）</w:t>
      </w:r>
      <w:bookmarkEnd w:id="16"/>
    </w:p>
    <w:p>
      <w:pPr>
        <w:spacing w:line="360" w:lineRule="auto"/>
        <w:rPr>
          <w:rFonts w:hint="eastAsia" w:ascii="宋体" w:hAnsi="宋体" w:eastAsia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color w:val="000000"/>
          <w:sz w:val="24"/>
          <w:szCs w:val="24"/>
          <w:lang w:val="en-US" w:eastAsia="zh-CN"/>
        </w:rPr>
        <w:t>1、定点药店购药业务结算流程及回退流程</w:t>
      </w:r>
    </w:p>
    <w:p>
      <w:r>
        <w:drawing>
          <wp:inline distT="0" distB="0" distL="114300" distR="114300">
            <wp:extent cx="3040380" cy="1539240"/>
            <wp:effectExtent l="0" t="0" r="7620" b="381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038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line="360" w:lineRule="auto"/>
        <w:rPr>
          <w:rFonts w:hint="eastAsia" w:ascii="宋体" w:hAnsi="宋体" w:eastAsia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bCs/>
          <w:color w:val="000000"/>
          <w:sz w:val="24"/>
          <w:szCs w:val="24"/>
          <w:lang w:val="en-US" w:eastAsia="zh-CN"/>
        </w:rPr>
        <w:t>2</w:t>
      </w:r>
      <w:r>
        <w:rPr>
          <w:rFonts w:ascii="宋体" w:hAnsi="宋体" w:eastAsia="宋体"/>
          <w:b/>
          <w:bCs/>
          <w:color w:val="000000"/>
          <w:sz w:val="24"/>
          <w:szCs w:val="24"/>
        </w:rPr>
        <w:t>、前置业务：</w:t>
      </w:r>
      <w:r>
        <w:rPr>
          <w:rFonts w:hint="eastAsia" w:ascii="宋体" w:hAnsi="宋体" w:eastAsia="宋体"/>
          <w:b w:val="0"/>
          <w:bCs w:val="0"/>
          <w:color w:val="000000"/>
          <w:sz w:val="24"/>
          <w:szCs w:val="24"/>
          <w:lang w:eastAsia="zh-CN"/>
        </w:rPr>
        <w:t>参保人含有个账余额</w:t>
      </w:r>
      <w:r>
        <w:rPr>
          <w:rFonts w:ascii="宋体" w:hAnsi="宋体" w:eastAsia="宋体"/>
          <w:color w:val="000000"/>
          <w:sz w:val="24"/>
          <w:szCs w:val="24"/>
        </w:rPr>
        <w:t>；</w:t>
      </w:r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rFonts w:hint="eastAsia"/>
          <w:color w:val="000000"/>
          <w:sz w:val="28"/>
          <w:lang w:val="en-US" w:eastAsia="zh-CN"/>
        </w:rPr>
      </w:pPr>
      <w:bookmarkStart w:id="17" w:name="_Toc3326"/>
      <w:bookmarkStart w:id="18" w:name="_Toc10317"/>
      <w:r>
        <w:rPr>
          <w:rFonts w:hint="eastAsia"/>
          <w:color w:val="000000"/>
          <w:sz w:val="28"/>
          <w:lang w:val="en-US" w:eastAsia="zh-CN"/>
        </w:rPr>
        <w:t>查询业务</w:t>
      </w:r>
      <w:bookmarkEnd w:id="17"/>
      <w:bookmarkEnd w:id="18"/>
    </w:p>
    <w:p>
      <w:pPr>
        <w:pStyle w:val="4"/>
        <w:bidi w:val="0"/>
        <w:rPr>
          <w:rFonts w:hint="eastAsia"/>
          <w:lang w:val="en-US" w:eastAsia="zh-CN"/>
        </w:rPr>
      </w:pPr>
      <w:bookmarkStart w:id="19" w:name="_Toc18412"/>
      <w:bookmarkStart w:id="20" w:name="_Toc21076"/>
      <w:r>
        <w:rPr>
          <w:rFonts w:hint="eastAsia"/>
          <w:lang w:val="en-US" w:eastAsia="zh-CN"/>
        </w:rPr>
        <w:t>1.10.1 费用明细查询</w:t>
      </w:r>
      <w:bookmarkEnd w:id="19"/>
      <w:bookmarkEnd w:id="20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1、医院HIS通过【5204-费用明细查询】可查询出参保人单笔结算的费用明细信息。</w:t>
      </w:r>
    </w:p>
    <w:p>
      <w:pPr>
        <w:bidi w:val="0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2、【5204-费用明细查询】入参：人员编号（</w:t>
      </w:r>
      <w:r>
        <w:rPr>
          <w:rFonts w:hint="default"/>
          <w:b/>
          <w:bCs/>
          <w:color w:val="FF0000"/>
        </w:rPr>
        <w:t>psn_no</w:t>
      </w:r>
      <w:r>
        <w:rPr>
          <w:rFonts w:hint="eastAsia"/>
          <w:b/>
          <w:bCs/>
          <w:color w:val="FF0000"/>
          <w:lang w:val="en-US" w:eastAsia="zh-CN"/>
        </w:rPr>
        <w:t>）、就诊ID（</w:t>
      </w:r>
      <w:r>
        <w:rPr>
          <w:rFonts w:hint="default"/>
          <w:b/>
          <w:bCs/>
          <w:color w:val="FF0000"/>
        </w:rPr>
        <w:t>mdtrt_id</w:t>
      </w:r>
      <w:r>
        <w:rPr>
          <w:rFonts w:hint="eastAsia"/>
          <w:b/>
          <w:bCs/>
          <w:color w:val="FF0000"/>
          <w:lang w:val="en-US" w:eastAsia="zh-CN"/>
        </w:rPr>
        <w:t>），不需要上传结算ID,特别异地的明细获取不要上传结算ID!!!</w:t>
      </w:r>
    </w:p>
    <w:p>
      <w:r>
        <w:drawing>
          <wp:inline distT="0" distB="0" distL="114300" distR="114300">
            <wp:extent cx="5271135" cy="4022725"/>
            <wp:effectExtent l="0" t="0" r="5715" b="1587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2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4"/>
        <w:bidi w:val="0"/>
        <w:rPr>
          <w:rFonts w:hint="eastAsia"/>
          <w:lang w:val="en-US" w:eastAsia="zh-CN"/>
        </w:rPr>
      </w:pPr>
      <w:bookmarkStart w:id="21" w:name="_Toc6685"/>
      <w:bookmarkStart w:id="22" w:name="_Toc17818"/>
      <w:r>
        <w:rPr>
          <w:rFonts w:hint="eastAsia"/>
          <w:lang w:val="en-US" w:eastAsia="zh-CN"/>
        </w:rPr>
        <w:t>1.10.2 结算信息查询</w:t>
      </w:r>
      <w:bookmarkEnd w:id="21"/>
      <w:bookmarkEnd w:id="22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1、医院HIS通过【5203-结算信息查询】可查询出参保人单笔结算的结算信息。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2、【5203-结算信息查询】入参：人员编号（</w:t>
      </w:r>
      <w:r>
        <w:rPr>
          <w:rFonts w:hint="default"/>
        </w:rPr>
        <w:t>psn_no</w:t>
      </w:r>
      <w:r>
        <w:rPr>
          <w:rFonts w:hint="eastAsia"/>
          <w:lang w:val="en-US" w:eastAsia="zh-CN"/>
        </w:rPr>
        <w:t>）、结算ID（</w:t>
      </w:r>
      <w:r>
        <w:rPr>
          <w:rFonts w:hint="default"/>
        </w:rPr>
        <w:t>setl_id</w:t>
      </w:r>
      <w:r>
        <w:rPr>
          <w:rFonts w:hint="eastAsia"/>
          <w:lang w:val="en-US" w:eastAsia="zh-CN"/>
        </w:rPr>
        <w:t>）、就诊ID（</w:t>
      </w:r>
      <w:r>
        <w:rPr>
          <w:rFonts w:hint="default"/>
        </w:rPr>
        <w:t>mdtrt_id</w:t>
      </w:r>
      <w:r>
        <w:rPr>
          <w:rFonts w:hint="eastAsia"/>
          <w:lang w:val="en-US" w:eastAsia="zh-CN"/>
        </w:rPr>
        <w:t>）</w:t>
      </w:r>
    </w:p>
    <w:p>
      <w:r>
        <w:drawing>
          <wp:inline distT="0" distB="0" distL="114300" distR="114300">
            <wp:extent cx="5263515" cy="2626360"/>
            <wp:effectExtent l="0" t="0" r="13335" b="254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23" w:name="_Toc18059"/>
      <w:bookmarkStart w:id="24" w:name="_Toc1259"/>
      <w:r>
        <w:rPr>
          <w:rFonts w:hint="eastAsia"/>
          <w:lang w:val="en-US" w:eastAsia="zh-CN"/>
        </w:rPr>
        <w:t>1.10.3 就诊信息查询</w:t>
      </w:r>
      <w:bookmarkEnd w:id="23"/>
      <w:bookmarkEnd w:id="24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1、医院HIS通过【5201-就诊信息查询】可查询出参保人范围时间内未结算的就诊信息。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2、【5201-就诊信息查询】入参：人员编号（</w:t>
      </w:r>
      <w:r>
        <w:rPr>
          <w:rFonts w:hint="default"/>
        </w:rPr>
        <w:t>psn_no</w:t>
      </w:r>
      <w:r>
        <w:rPr>
          <w:rFonts w:hint="eastAsia"/>
          <w:lang w:val="en-US" w:eastAsia="zh-CN"/>
        </w:rPr>
        <w:t>）、开始时间（</w:t>
      </w:r>
      <w:r>
        <w:rPr>
          <w:rFonts w:hint="default"/>
        </w:rPr>
        <w:t>begntime</w:t>
      </w:r>
      <w:r>
        <w:rPr>
          <w:rFonts w:hint="eastAsia"/>
          <w:lang w:val="en-US" w:eastAsia="zh-CN"/>
        </w:rPr>
        <w:t>）、结束时间（</w:t>
      </w:r>
      <w:r>
        <w:rPr>
          <w:rFonts w:hint="default"/>
        </w:rPr>
        <w:t>endtime</w:t>
      </w:r>
      <w:r>
        <w:rPr>
          <w:rFonts w:hint="eastAsia"/>
          <w:lang w:val="en-US" w:eastAsia="zh-CN"/>
        </w:rPr>
        <w:t>）、医疗类别（</w:t>
      </w:r>
      <w:r>
        <w:rPr>
          <w:rFonts w:hint="default"/>
        </w:rPr>
        <w:t>med_type</w:t>
      </w:r>
      <w:r>
        <w:rPr>
          <w:rFonts w:hint="eastAsia"/>
          <w:lang w:val="en-US" w:eastAsia="zh-CN"/>
        </w:rPr>
        <w:t>）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3、如果存在门诊与住院时间交叉问题，可通过此接口查询出参保人就诊信息，从而判断是哪个记录有交叉。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575560"/>
            <wp:effectExtent l="0" t="0" r="6985" b="1524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</w:p>
    <w:p>
      <w:pPr>
        <w:pStyle w:val="26"/>
        <w:spacing w:line="360" w:lineRule="auto"/>
        <w:ind w:left="360" w:firstLine="0" w:firstLineChars="0"/>
      </w:pPr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25" w:name="_生育定点备案"/>
      <w:bookmarkEnd w:id="25"/>
      <w:bookmarkStart w:id="26" w:name="_Toc29692"/>
      <w:r>
        <w:rPr>
          <w:rFonts w:hint="eastAsia"/>
          <w:color w:val="000000"/>
          <w:sz w:val="28"/>
        </w:rPr>
        <w:t>结算</w:t>
      </w:r>
      <w:r>
        <w:rPr>
          <w:color w:val="000000"/>
          <w:sz w:val="28"/>
        </w:rPr>
        <w:t>单</w:t>
      </w:r>
      <w:bookmarkEnd w:id="26"/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4" w:hRule="atLeast"/>
        </w:trPr>
        <w:tc>
          <w:tcPr>
            <w:tcW w:w="8296" w:type="dxa"/>
          </w:tcPr>
          <w:p>
            <w:pPr>
              <w:rPr>
                <w:b/>
                <w:color w:val="FF0000"/>
              </w:rPr>
            </w:pPr>
            <w:r>
              <w:rPr>
                <w:rFonts w:hint="eastAsia"/>
                <w:b/>
                <w:color w:val="FF0000"/>
              </w:rPr>
              <w:t>注意</w:t>
            </w:r>
            <w:r>
              <w:rPr>
                <w:b/>
                <w:color w:val="FF0000"/>
              </w:rPr>
              <w:t>：</w:t>
            </w:r>
          </w:p>
          <w:p>
            <w:pPr>
              <w:rPr>
                <w:b/>
                <w:color w:val="FF0000"/>
              </w:rPr>
            </w:pPr>
          </w:p>
          <w:p>
            <w:pPr>
              <w:rPr>
                <w:b/>
                <w:color w:val="FF0000"/>
              </w:rPr>
            </w:pPr>
            <w:r>
              <w:rPr>
                <w:rFonts w:hint="eastAsia"/>
                <w:b/>
                <w:color w:val="FF0000"/>
              </w:rPr>
              <w:t>结算</w:t>
            </w:r>
            <w:r>
              <w:rPr>
                <w:b/>
                <w:color w:val="FF0000"/>
              </w:rPr>
              <w:t>单中的</w:t>
            </w:r>
            <w:r>
              <w:rPr>
                <w:rFonts w:hint="eastAsia"/>
                <w:b/>
                <w:color w:val="FF0000"/>
              </w:rPr>
              <w:t>“费用类别”里面的各项金额，</w:t>
            </w:r>
            <w:r>
              <w:rPr>
                <w:b/>
                <w:color w:val="FF0000"/>
              </w:rPr>
              <w:t>建议医院HIS</w:t>
            </w:r>
            <w:r>
              <w:rPr>
                <w:rFonts w:hint="eastAsia"/>
                <w:b/>
                <w:color w:val="FF0000"/>
              </w:rPr>
              <w:t>系统在费用明上传或结算后，再从【5204-费用明细查询】重新获取一次，保证数据一致性。</w:t>
            </w:r>
          </w:p>
          <w:p>
            <w:pPr>
              <w:rPr>
                <w:b/>
                <w:color w:val="FF0000"/>
              </w:rPr>
            </w:pPr>
            <w:r>
              <w:rPr>
                <w:rFonts w:hint="eastAsia"/>
                <w:b/>
                <w:color w:val="FF0000"/>
              </w:rPr>
              <w:t>如</w:t>
            </w:r>
            <w:r>
              <w:rPr>
                <w:b/>
                <w:color w:val="FF0000"/>
              </w:rPr>
              <w:t>下图所示</w:t>
            </w:r>
            <w:r>
              <w:rPr>
                <w:rFonts w:hint="eastAsia"/>
                <w:b/>
                <w:color w:val="FF0000"/>
              </w:rPr>
              <w:t>标位置</w:t>
            </w:r>
            <w:r>
              <w:rPr>
                <w:b/>
                <w:color w:val="FF0000"/>
              </w:rPr>
              <w:t>：</w:t>
            </w:r>
          </w:p>
          <w:p>
            <w:pPr>
              <w:rPr>
                <w:b/>
                <w:color w:val="FF0000"/>
              </w:rPr>
            </w:pPr>
            <w:r>
              <w:drawing>
                <wp:inline distT="0" distB="0" distL="0" distR="0">
                  <wp:extent cx="5100320" cy="2795270"/>
                  <wp:effectExtent l="19050" t="19050" r="24130" b="2413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3475" cy="279689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4"/>
        <w:numPr>
          <w:ilvl w:val="2"/>
          <w:numId w:val="2"/>
        </w:numPr>
        <w:spacing w:before="240" w:after="120" w:line="360" w:lineRule="atLeast"/>
        <w:rPr>
          <w:sz w:val="24"/>
          <w:szCs w:val="24"/>
        </w:rPr>
      </w:pPr>
      <w:bookmarkStart w:id="27" w:name="_Toc30313"/>
      <w:r>
        <w:rPr>
          <w:rFonts w:hint="eastAsia"/>
          <w:sz w:val="24"/>
          <w:szCs w:val="24"/>
        </w:rPr>
        <w:t>“自</w:t>
      </w:r>
      <w:r>
        <w:rPr>
          <w:sz w:val="24"/>
          <w:szCs w:val="24"/>
        </w:rPr>
        <w:t>费</w:t>
      </w:r>
      <w:r>
        <w:rPr>
          <w:rFonts w:hint="eastAsia"/>
          <w:sz w:val="24"/>
          <w:szCs w:val="24"/>
        </w:rPr>
        <w:t>”</w:t>
      </w:r>
      <w:r>
        <w:rPr>
          <w:sz w:val="24"/>
          <w:szCs w:val="24"/>
        </w:rPr>
        <w:t>金额取值</w:t>
      </w:r>
      <w:bookmarkEnd w:id="27"/>
    </w:p>
    <w:p>
      <w:pPr>
        <w:ind w:firstLine="340"/>
        <w:rPr>
          <w:b/>
        </w:rPr>
      </w:pPr>
      <w:r>
        <w:rPr>
          <w:rFonts w:hint="eastAsia"/>
          <w:b/>
        </w:rPr>
        <w:t>自</w:t>
      </w:r>
      <w:r>
        <w:rPr>
          <w:b/>
        </w:rPr>
        <w:t>费</w:t>
      </w:r>
      <w:r>
        <w:rPr>
          <w:rFonts w:hint="eastAsia"/>
          <w:b/>
        </w:rPr>
        <w:t>=</w:t>
      </w:r>
      <w:r>
        <w:rPr>
          <w:b/>
        </w:rPr>
        <w:t xml:space="preserve"> </w:t>
      </w:r>
      <w:r>
        <w:rPr>
          <w:rFonts w:hint="eastAsia"/>
          <w:b/>
        </w:rPr>
        <w:t>全</w:t>
      </w:r>
      <w:r>
        <w:rPr>
          <w:b/>
        </w:rPr>
        <w:t>自费金额（fulamt_ownpay_amt</w:t>
      </w:r>
      <w:r>
        <w:rPr>
          <w:rFonts w:hint="eastAsia"/>
          <w:b/>
        </w:rPr>
        <w:t>）</w:t>
      </w:r>
      <w:r>
        <w:rPr>
          <w:b/>
        </w:rPr>
        <w:t xml:space="preserve">+ </w:t>
      </w:r>
      <w:r>
        <w:rPr>
          <w:rFonts w:hint="eastAsia"/>
          <w:b/>
        </w:rPr>
        <w:t>超</w:t>
      </w:r>
      <w:r>
        <w:rPr>
          <w:b/>
        </w:rPr>
        <w:t>限价金额</w:t>
      </w:r>
      <w:r>
        <w:rPr>
          <w:rFonts w:hint="eastAsia"/>
          <w:b/>
        </w:rPr>
        <w:t>（</w:t>
      </w:r>
      <w:r>
        <w:rPr>
          <w:b/>
        </w:rPr>
        <w:t>overlmt_amt</w:t>
      </w:r>
      <w:r>
        <w:rPr>
          <w:rFonts w:hint="eastAsia"/>
          <w:b/>
        </w:rPr>
        <w:t>）</w:t>
      </w:r>
    </w:p>
    <w:p>
      <w:pPr>
        <w:pStyle w:val="4"/>
        <w:numPr>
          <w:ilvl w:val="2"/>
          <w:numId w:val="2"/>
        </w:numPr>
        <w:spacing w:before="240" w:after="120" w:line="360" w:lineRule="atLeast"/>
        <w:rPr>
          <w:sz w:val="24"/>
          <w:szCs w:val="24"/>
        </w:rPr>
      </w:pPr>
      <w:bookmarkStart w:id="28" w:name="_Toc15416"/>
      <w:r>
        <w:rPr>
          <w:rFonts w:hint="eastAsia"/>
          <w:sz w:val="24"/>
          <w:szCs w:val="24"/>
        </w:rPr>
        <w:t>“部</w:t>
      </w:r>
      <w:r>
        <w:rPr>
          <w:sz w:val="24"/>
          <w:szCs w:val="24"/>
        </w:rPr>
        <w:t>分</w:t>
      </w:r>
      <w:r>
        <w:rPr>
          <w:rFonts w:hint="eastAsia"/>
          <w:sz w:val="24"/>
          <w:szCs w:val="24"/>
        </w:rPr>
        <w:t>项</w:t>
      </w:r>
      <w:r>
        <w:rPr>
          <w:sz w:val="24"/>
          <w:szCs w:val="24"/>
        </w:rPr>
        <w:t>目自付</w:t>
      </w:r>
      <w:r>
        <w:rPr>
          <w:rFonts w:hint="eastAsia"/>
          <w:sz w:val="24"/>
          <w:szCs w:val="24"/>
        </w:rPr>
        <w:t>”</w:t>
      </w:r>
      <w:r>
        <w:rPr>
          <w:sz w:val="24"/>
          <w:szCs w:val="24"/>
        </w:rPr>
        <w:t>金额取值</w:t>
      </w:r>
      <w:bookmarkEnd w:id="28"/>
    </w:p>
    <w:p>
      <w:pPr>
        <w:ind w:firstLine="340"/>
        <w:rPr>
          <w:b/>
        </w:rPr>
      </w:pPr>
      <w:r>
        <w:rPr>
          <w:rFonts w:hint="eastAsia"/>
          <w:b/>
        </w:rPr>
        <w:t>部分项目自付 =</w:t>
      </w:r>
      <w:r>
        <w:rPr>
          <w:b/>
        </w:rPr>
        <w:t xml:space="preserve"> </w:t>
      </w:r>
      <w:r>
        <w:rPr>
          <w:rFonts w:hint="eastAsia"/>
          <w:b/>
        </w:rPr>
        <w:t>先</w:t>
      </w:r>
      <w:r>
        <w:rPr>
          <w:b/>
        </w:rPr>
        <w:t>行自付金额</w:t>
      </w:r>
      <w:r>
        <w:rPr>
          <w:rFonts w:hint="eastAsia"/>
          <w:b/>
        </w:rPr>
        <w:t>（</w:t>
      </w:r>
      <w:r>
        <w:rPr>
          <w:b/>
        </w:rPr>
        <w:t>preselfpay</w:t>
      </w:r>
      <w:r>
        <w:rPr>
          <w:rFonts w:hint="eastAsia"/>
          <w:b/>
        </w:rPr>
        <w:t>_amt）</w:t>
      </w:r>
    </w:p>
    <w:p>
      <w:pPr>
        <w:pStyle w:val="4"/>
        <w:numPr>
          <w:ilvl w:val="2"/>
          <w:numId w:val="2"/>
        </w:numPr>
        <w:spacing w:before="240" w:after="120" w:line="360" w:lineRule="atLeast"/>
      </w:pPr>
      <w:bookmarkStart w:id="29" w:name="_Toc4027"/>
      <w:r>
        <w:rPr>
          <w:rFonts w:hint="eastAsia"/>
          <w:sz w:val="24"/>
          <w:szCs w:val="24"/>
        </w:rPr>
        <w:t>结算单</w:t>
      </w:r>
      <w:r>
        <w:rPr>
          <w:sz w:val="24"/>
          <w:szCs w:val="24"/>
        </w:rPr>
        <w:t>表样</w:t>
      </w:r>
      <w:bookmarkEnd w:id="29"/>
    </w:p>
    <w:p>
      <w:pPr>
        <w:pStyle w:val="26"/>
        <w:spacing w:line="360" w:lineRule="auto"/>
        <w:ind w:left="360" w:firstLine="0" w:firstLineChars="0"/>
      </w:pPr>
      <w:r>
        <w:rPr>
          <w:rFonts w:hint="eastAsia"/>
        </w:rPr>
        <w:t>表</w:t>
      </w:r>
      <w:r>
        <w:t>样</w:t>
      </w:r>
      <w:r>
        <w:rPr>
          <w:rFonts w:hint="eastAsia"/>
        </w:rPr>
        <w:t>请</w:t>
      </w:r>
      <w:r>
        <w:t>见《</w:t>
      </w:r>
      <w:r>
        <w:rPr>
          <w:rFonts w:hint="eastAsia"/>
        </w:rPr>
        <w:t>附件文档二：广东省社会医疗保险医疗费用结算单.xls</w:t>
      </w:r>
      <w:r>
        <w:t>》</w:t>
      </w:r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30" w:name="_Toc16848"/>
      <w:r>
        <w:rPr>
          <w:rFonts w:hint="eastAsia"/>
          <w:color w:val="000000"/>
          <w:sz w:val="28"/>
        </w:rPr>
        <w:t>字</w:t>
      </w:r>
      <w:r>
        <w:rPr>
          <w:color w:val="000000"/>
          <w:sz w:val="28"/>
        </w:rPr>
        <w:t>典表</w:t>
      </w:r>
      <w:bookmarkEnd w:id="30"/>
    </w:p>
    <w:p>
      <w:pPr>
        <w:pStyle w:val="26"/>
        <w:spacing w:line="360" w:lineRule="auto"/>
        <w:ind w:left="360" w:firstLine="0" w:firstLineChars="0"/>
      </w:pPr>
      <w:r>
        <w:rPr>
          <w:rFonts w:hint="eastAsia"/>
        </w:rPr>
        <w:t>请</w:t>
      </w:r>
      <w:r>
        <w:t>以指引文档一起下发的附件</w:t>
      </w:r>
      <w:r>
        <w:rPr>
          <w:rFonts w:hint="eastAsia"/>
        </w:rPr>
        <w:t>为</w:t>
      </w:r>
      <w:r>
        <w:t>准。</w:t>
      </w:r>
    </w:p>
    <w:p>
      <w:pPr>
        <w:pStyle w:val="3"/>
        <w:numPr>
          <w:ilvl w:val="1"/>
          <w:numId w:val="2"/>
        </w:numPr>
        <w:tabs>
          <w:tab w:val="left" w:pos="576"/>
          <w:tab w:val="clear" w:pos="936"/>
        </w:tabs>
        <w:spacing w:before="240" w:after="120" w:line="360" w:lineRule="auto"/>
        <w:ind w:left="576"/>
        <w:rPr>
          <w:color w:val="000000"/>
          <w:sz w:val="28"/>
        </w:rPr>
      </w:pPr>
      <w:bookmarkStart w:id="31" w:name="_Toc4961"/>
      <w:r>
        <w:rPr>
          <w:rFonts w:hint="eastAsia"/>
          <w:color w:val="000000"/>
          <w:sz w:val="28"/>
        </w:rPr>
        <w:t>常</w:t>
      </w:r>
      <w:r>
        <w:rPr>
          <w:color w:val="000000"/>
          <w:sz w:val="28"/>
        </w:rPr>
        <w:t>见异</w:t>
      </w:r>
      <w:r>
        <w:rPr>
          <w:rFonts w:hint="eastAsia"/>
          <w:color w:val="000000"/>
          <w:sz w:val="28"/>
        </w:rPr>
        <w:t>常</w:t>
      </w:r>
      <w:bookmarkEnd w:id="31"/>
    </w:p>
    <w:p>
      <w:pPr>
        <w:pStyle w:val="4"/>
        <w:numPr>
          <w:ilvl w:val="2"/>
          <w:numId w:val="2"/>
        </w:numPr>
        <w:spacing w:before="240" w:after="120" w:line="360" w:lineRule="atLeast"/>
      </w:pPr>
      <w:bookmarkStart w:id="32" w:name="_Toc24108"/>
      <w:r>
        <w:rPr>
          <w:rFonts w:hint="eastAsia"/>
        </w:rPr>
        <w:t>调用目标服务异常,请联系管理员查</w:t>
      </w:r>
      <w:bookmarkEnd w:id="32"/>
    </w:p>
    <w:p>
      <w:r>
        <w:rPr>
          <w:rFonts w:hint="eastAsia"/>
        </w:rPr>
        <w:t>如果返</w:t>
      </w:r>
      <w:r>
        <w:t>回提示“</w:t>
      </w:r>
      <w:r>
        <w:rPr>
          <w:rFonts w:hint="eastAsia"/>
        </w:rPr>
        <w:t>调用目标服务异常,请联系管理员查看后台日志信息异常流水号:3371251537</w:t>
      </w:r>
      <w:r>
        <w:t>”</w:t>
      </w:r>
      <w:r>
        <w:rPr>
          <w:rFonts w:hint="eastAsia"/>
        </w:rPr>
        <w:t>请</w:t>
      </w:r>
      <w:r>
        <w:t>检查一下入参的日期或时间的格式</w:t>
      </w:r>
      <w:r>
        <w:rPr>
          <w:rFonts w:hint="eastAsia"/>
        </w:rPr>
        <w:t>，</w:t>
      </w:r>
      <w:r>
        <w:t>是否符合文档规范要求。</w:t>
      </w:r>
    </w:p>
    <w:p>
      <w:r>
        <w:rPr>
          <w:rFonts w:hint="eastAsia"/>
        </w:rPr>
        <w:t>例</w:t>
      </w:r>
      <w:r>
        <w:t>1</w:t>
      </w:r>
      <w:r>
        <w:rPr>
          <w:rFonts w:hint="eastAsia"/>
        </w:rPr>
        <w:t>：</w:t>
      </w:r>
    </w:p>
    <w:p>
      <w:r>
        <w:rPr>
          <w:rFonts w:hint="eastAsia"/>
        </w:rPr>
        <w:t>日期格</w:t>
      </w:r>
      <w:r>
        <w:t>式要求是：</w:t>
      </w:r>
      <w:r>
        <w:rPr>
          <w:rFonts w:hint="eastAsia"/>
        </w:rPr>
        <w:t>yyyy-MM-dd ，</w:t>
      </w:r>
      <w:r>
        <w:t>时间格式要求是：yyyy-MM-dd hh:mi:ss</w:t>
      </w:r>
    </w:p>
    <w:p/>
    <w:p>
      <w:r>
        <w:rPr>
          <w:rFonts w:hint="eastAsia"/>
        </w:rPr>
        <w:t>正确</w:t>
      </w:r>
      <w:r>
        <w:t>的：</w:t>
      </w:r>
      <w:r>
        <w:rPr>
          <w:rFonts w:hint="eastAsia"/>
        </w:rPr>
        <w:t xml:space="preserve">2020-12-01 </w:t>
      </w:r>
      <w:r>
        <w:rPr>
          <w:rFonts w:hint="eastAsia"/>
          <w:color w:val="FF0000"/>
        </w:rPr>
        <w:t>错误</w:t>
      </w:r>
      <w:r>
        <w:rPr>
          <w:color w:val="FF0000"/>
        </w:rPr>
        <w:t>：</w:t>
      </w:r>
      <w:r>
        <w:rPr>
          <w:rFonts w:hint="eastAsia"/>
          <w:color w:val="FF0000"/>
        </w:rPr>
        <w:t>2020-12-1（少</w:t>
      </w:r>
      <w:r>
        <w:rPr>
          <w:color w:val="FF0000"/>
        </w:rPr>
        <w:t>了一个</w:t>
      </w:r>
      <w:r>
        <w:rPr>
          <w:rFonts w:hint="eastAsia"/>
          <w:color w:val="FF0000"/>
        </w:rPr>
        <w:t>0</w:t>
      </w:r>
      <w:r>
        <w:rPr>
          <w:color w:val="FF0000"/>
        </w:rPr>
        <w:t>）</w:t>
      </w:r>
    </w:p>
    <w:p>
      <w:pPr>
        <w:pStyle w:val="4"/>
        <w:numPr>
          <w:ilvl w:val="2"/>
          <w:numId w:val="2"/>
        </w:numPr>
        <w:spacing w:before="240" w:after="120" w:line="360" w:lineRule="atLeast"/>
      </w:pPr>
      <w:bookmarkStart w:id="33" w:name="_Toc6789"/>
      <w:r>
        <w:rPr>
          <w:color w:val="FF0000"/>
        </w:rPr>
        <w:t xml:space="preserve">JSONArray </w:t>
      </w:r>
      <w:r>
        <w:rPr>
          <w:rFonts w:hint="eastAsia"/>
        </w:rPr>
        <w:t>多行</w:t>
      </w:r>
      <w:r>
        <w:t>入参-格式不规范</w:t>
      </w:r>
      <w:bookmarkEnd w:id="33"/>
    </w:p>
    <w:p>
      <w:pPr>
        <w:ind w:left="340"/>
        <w:rPr>
          <w:b/>
          <w:color w:val="FF0000"/>
        </w:rPr>
      </w:pPr>
      <w:r>
        <w:rPr>
          <w:rFonts w:hint="eastAsia"/>
          <w:b/>
          <w:color w:val="FF0000"/>
        </w:rPr>
        <w:t>异常</w:t>
      </w:r>
      <w:r>
        <w:rPr>
          <w:b/>
          <w:color w:val="FF0000"/>
        </w:rPr>
        <w:t>提</w:t>
      </w:r>
      <w:r>
        <w:rPr>
          <w:rFonts w:hint="eastAsia"/>
          <w:b/>
          <w:color w:val="FF0000"/>
        </w:rPr>
        <w:t>示</w:t>
      </w:r>
      <w:r>
        <w:rPr>
          <w:b/>
          <w:color w:val="FF0000"/>
        </w:rPr>
        <w:t>：</w:t>
      </w:r>
    </w:p>
    <w:p>
      <w:pPr>
        <w:pStyle w:val="26"/>
        <w:spacing w:line="360" w:lineRule="auto"/>
        <w:ind w:left="360" w:firstLine="0" w:firstLineChars="0"/>
        <w:rPr>
          <w:color w:val="FF0000"/>
        </w:rPr>
      </w:pPr>
      <w:r>
        <w:rPr>
          <w:color w:val="FF0000"/>
        </w:rPr>
        <w:t>API-com.alibaba.fastjson.JSONObject cannot be cast to com.alibaba.fastjson.JSONArray[OutpatientDocInfoApiServiceImpl_157],</w:t>
      </w:r>
    </w:p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原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因：</w:t>
      </w:r>
    </w:p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文档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要求是多行入参，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但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是上传的JSON没有按要求入参。</w:t>
      </w:r>
    </w:p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例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表 59 输入-购药明细信息（节点标识：drugdetail），明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细应该是多行的。</w:t>
      </w:r>
    </w:p>
    <w:tbl>
      <w:tblPr>
        <w:tblStyle w:val="14"/>
        <w:tblW w:w="0" w:type="auto"/>
        <w:tblInd w:w="36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shd w:val="clear" w:color="auto" w:fill="F7CAAC" w:themeFill="accent2" w:themeFillTint="66"/>
          </w:tcPr>
          <w:p>
            <w:pPr>
              <w:pStyle w:val="26"/>
              <w:spacing w:line="360" w:lineRule="auto"/>
              <w:ind w:firstLine="0" w:firstLineChars="0"/>
              <w:rPr>
                <w:b/>
                <w:color w:val="FF0000"/>
              </w:rPr>
            </w:pPr>
            <w:r>
              <w:rPr>
                <w:rFonts w:hint="eastAsia"/>
                <w:b/>
                <w:color w:val="FF0000"/>
              </w:rPr>
              <w:t>错误: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{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“infno”:”2102”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….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drugdetail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”: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{</w:t>
            </w:r>
          </w:p>
          <w:p>
            <w:pPr>
              <w:pStyle w:val="26"/>
              <w:spacing w:line="360" w:lineRule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feedetl_sn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”:”1”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}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}</w:t>
            </w:r>
          </w:p>
        </w:tc>
      </w:tr>
    </w:tbl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tbl>
      <w:tblPr>
        <w:tblStyle w:val="14"/>
        <w:tblW w:w="0" w:type="auto"/>
        <w:tblInd w:w="36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shd w:val="clear" w:color="auto" w:fill="A8D08D" w:themeFill="accent6" w:themeFillTint="99"/>
          </w:tcPr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正</w:t>
            </w:r>
            <w:r>
              <w:rPr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确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: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多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条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的时候要用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color w:val="FF0000"/>
              </w:rPr>
              <w:t>[]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括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起来：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{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“infno”:”2102”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….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drugdetail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”: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[</w:t>
            </w:r>
          </w:p>
          <w:p>
            <w:pPr>
              <w:pStyle w:val="26"/>
              <w:spacing w:line="360" w:lineRule="auto"/>
              <w:ind w:firstLine="210" w:firstLineChars="10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{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feedetl_sn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”:”1”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…</w:t>
            </w:r>
          </w:p>
          <w:p>
            <w:pPr>
              <w:pStyle w:val="26"/>
              <w:spacing w:line="360" w:lineRule="auto"/>
              <w:ind w:firstLine="210" w:firstLineChars="10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}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26"/>
              <w:spacing w:line="360" w:lineRule="auto"/>
              <w:ind w:firstLine="210" w:firstLineChars="10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{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“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feedetl_sn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”:”2”,</w:t>
            </w:r>
          </w:p>
          <w:p>
            <w:pPr>
              <w:pStyle w:val="26"/>
              <w:spacing w:line="360" w:lineRule="auto"/>
              <w:ind w:firstLine="315" w:firstLineChars="15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…</w:t>
            </w:r>
          </w:p>
          <w:p>
            <w:pPr>
              <w:pStyle w:val="26"/>
              <w:spacing w:line="360" w:lineRule="auto"/>
              <w:ind w:firstLine="210" w:firstLineChars="10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}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FF0000"/>
              </w:rPr>
            </w:pPr>
            <w:r>
              <w:rPr>
                <w:color w:val="FF0000"/>
              </w:rPr>
              <w:t>]</w:t>
            </w:r>
          </w:p>
          <w:p>
            <w:pPr>
              <w:pStyle w:val="26"/>
              <w:spacing w:line="360" w:lineRule="auto"/>
              <w:ind w:firstLine="0" w:firstLineChars="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}</w:t>
            </w:r>
          </w:p>
        </w:tc>
      </w:tr>
    </w:tbl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6"/>
        <w:spacing w:line="360" w:lineRule="auto"/>
        <w:ind w:left="360"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pageBreakBefore/>
        <w:numPr>
          <w:ilvl w:val="0"/>
          <w:numId w:val="0"/>
        </w:numPr>
        <w:spacing w:before="240" w:after="240" w:line="360" w:lineRule="auto"/>
        <w:ind w:left="432"/>
        <w:textAlignment w:val="baseline"/>
        <w:rPr>
          <w:rFonts w:eastAsia="黑体"/>
          <w:snapToGrid w:val="0"/>
          <w:color w:val="000000"/>
          <w:sz w:val="32"/>
        </w:rPr>
      </w:pPr>
      <w:bookmarkStart w:id="34" w:name="_Toc15808"/>
      <w:r>
        <w:rPr>
          <w:rFonts w:hint="eastAsia" w:eastAsia="黑体"/>
          <w:snapToGrid w:val="0"/>
          <w:color w:val="000000"/>
          <w:sz w:val="32"/>
        </w:rPr>
        <w:t>附</w:t>
      </w:r>
      <w:r>
        <w:rPr>
          <w:rFonts w:eastAsia="黑体"/>
          <w:snapToGrid w:val="0"/>
          <w:color w:val="000000"/>
          <w:sz w:val="32"/>
        </w:rPr>
        <w:t>件</w:t>
      </w:r>
      <w:r>
        <w:rPr>
          <w:rFonts w:hint="eastAsia" w:eastAsia="黑体"/>
          <w:snapToGrid w:val="0"/>
          <w:color w:val="000000"/>
          <w:sz w:val="32"/>
        </w:rPr>
        <w:t>一</w:t>
      </w:r>
      <w:r>
        <w:rPr>
          <w:rFonts w:eastAsia="黑体"/>
          <w:snapToGrid w:val="0"/>
          <w:color w:val="000000"/>
          <w:sz w:val="32"/>
        </w:rPr>
        <w:t>：</w:t>
      </w:r>
      <w:r>
        <w:rPr>
          <w:rFonts w:hint="eastAsia" w:eastAsia="黑体"/>
          <w:snapToGrid w:val="0"/>
          <w:color w:val="000000"/>
          <w:sz w:val="32"/>
        </w:rPr>
        <w:t>医疗</w:t>
      </w:r>
      <w:r>
        <w:rPr>
          <w:rFonts w:eastAsia="黑体"/>
          <w:snapToGrid w:val="0"/>
          <w:color w:val="000000"/>
          <w:sz w:val="32"/>
        </w:rPr>
        <w:t>类别</w:t>
      </w:r>
      <w:bookmarkEnd w:id="34"/>
    </w:p>
    <w:tbl>
      <w:tblPr>
        <w:tblStyle w:val="13"/>
        <w:tblW w:w="8296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6"/>
        <w:gridCol w:w="3454"/>
        <w:gridCol w:w="1116"/>
        <w:gridCol w:w="261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  <w:tblHeader/>
        </w:trPr>
        <w:tc>
          <w:tcPr>
            <w:tcW w:w="11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>
            <w:pPr>
              <w:ind w:firstLine="360"/>
              <w:jc w:val="center"/>
              <w:rPr>
                <w:rFonts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代码值</w:t>
            </w:r>
          </w:p>
        </w:tc>
        <w:tc>
          <w:tcPr>
            <w:tcW w:w="345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>
            <w:pPr>
              <w:ind w:firstLine="360"/>
              <w:jc w:val="center"/>
              <w:rPr>
                <w:rFonts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代码名称</w:t>
            </w:r>
          </w:p>
        </w:tc>
        <w:tc>
          <w:tcPr>
            <w:tcW w:w="11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>
            <w:pPr>
              <w:ind w:firstLine="360"/>
              <w:jc w:val="center"/>
              <w:rPr>
                <w:rFonts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代码值</w:t>
            </w:r>
          </w:p>
        </w:tc>
        <w:tc>
          <w:tcPr>
            <w:tcW w:w="26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noWrap/>
            <w:vAlign w:val="center"/>
          </w:tcPr>
          <w:p>
            <w:pPr>
              <w:ind w:firstLine="360"/>
              <w:jc w:val="center"/>
              <w:rPr>
                <w:rFonts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代码名称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普通门诊</w:t>
            </w:r>
          </w:p>
        </w:tc>
        <w:tc>
          <w:tcPr>
            <w:tcW w:w="11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2</w:t>
            </w: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外伤住院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门诊挂号</w:t>
            </w:r>
          </w:p>
        </w:tc>
        <w:tc>
          <w:tcPr>
            <w:tcW w:w="11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2</w:t>
            </w: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转外诊治住院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急诊</w:t>
            </w:r>
          </w:p>
        </w:tc>
        <w:tc>
          <w:tcPr>
            <w:tcW w:w="11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41</w:t>
            </w:r>
          </w:p>
        </w:tc>
        <w:tc>
          <w:tcPr>
            <w:tcW w:w="2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定点药店购药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门诊慢性病</w:t>
            </w:r>
          </w:p>
        </w:tc>
        <w:tc>
          <w:tcPr>
            <w:tcW w:w="11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51</w:t>
            </w:r>
          </w:p>
        </w:tc>
        <w:tc>
          <w:tcPr>
            <w:tcW w:w="2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生育门诊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普通住院</w:t>
            </w:r>
          </w:p>
        </w:tc>
        <w:tc>
          <w:tcPr>
            <w:tcW w:w="111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52</w:t>
            </w:r>
          </w:p>
        </w:tc>
        <w:tc>
          <w:tcPr>
            <w:tcW w:w="2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生育住院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3726" w:type="dxa"/>
          <w:trHeight w:val="260" w:hRule="atLeast"/>
        </w:trPr>
        <w:tc>
          <w:tcPr>
            <w:tcW w:w="11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7</w:t>
            </w: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345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ind w:firstLine="360"/>
              <w:jc w:val="center"/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家庭病床</w:t>
            </w:r>
          </w:p>
        </w:tc>
      </w:tr>
    </w:tbl>
    <w:p/>
    <w:p>
      <w:pPr>
        <w:pStyle w:val="2"/>
        <w:pageBreakBefore/>
        <w:numPr>
          <w:ilvl w:val="0"/>
          <w:numId w:val="0"/>
        </w:numPr>
        <w:spacing w:before="240" w:after="240" w:line="360" w:lineRule="auto"/>
        <w:ind w:left="432"/>
        <w:textAlignment w:val="baseline"/>
        <w:rPr>
          <w:rFonts w:eastAsia="黑体"/>
          <w:snapToGrid w:val="0"/>
          <w:color w:val="000000"/>
          <w:sz w:val="32"/>
        </w:rPr>
      </w:pPr>
      <w:bookmarkStart w:id="35" w:name="_附件二：门慢门特病种编码表"/>
      <w:bookmarkEnd w:id="35"/>
      <w:bookmarkStart w:id="36" w:name="_Toc32749"/>
      <w:r>
        <w:rPr>
          <w:rFonts w:hint="eastAsia" w:eastAsia="黑体"/>
          <w:snapToGrid w:val="0"/>
          <w:color w:val="000000"/>
          <w:sz w:val="32"/>
        </w:rPr>
        <w:t>附</w:t>
      </w:r>
      <w:r>
        <w:rPr>
          <w:rFonts w:eastAsia="黑体"/>
          <w:snapToGrid w:val="0"/>
          <w:color w:val="000000"/>
          <w:sz w:val="32"/>
        </w:rPr>
        <w:t>件</w:t>
      </w:r>
      <w:r>
        <w:rPr>
          <w:rFonts w:hint="eastAsia" w:eastAsia="黑体"/>
          <w:snapToGrid w:val="0"/>
          <w:color w:val="000000"/>
          <w:sz w:val="32"/>
          <w:lang w:val="en-US" w:eastAsia="zh-CN"/>
        </w:rPr>
        <w:t>二</w:t>
      </w:r>
      <w:r>
        <w:rPr>
          <w:rFonts w:eastAsia="黑体"/>
          <w:snapToGrid w:val="0"/>
          <w:color w:val="000000"/>
          <w:sz w:val="32"/>
        </w:rPr>
        <w:t>：</w:t>
      </w:r>
      <w:r>
        <w:rPr>
          <w:rFonts w:hint="eastAsia" w:eastAsia="黑体"/>
          <w:snapToGrid w:val="0"/>
          <w:color w:val="000000"/>
          <w:sz w:val="32"/>
        </w:rPr>
        <w:t>省</w:t>
      </w:r>
      <w:r>
        <w:rPr>
          <w:rFonts w:eastAsia="黑体"/>
          <w:snapToGrid w:val="0"/>
          <w:color w:val="000000"/>
          <w:sz w:val="32"/>
        </w:rPr>
        <w:t>级</w:t>
      </w:r>
      <w:r>
        <w:rPr>
          <w:rFonts w:hint="eastAsia" w:eastAsia="黑体"/>
          <w:snapToGrid w:val="0"/>
          <w:color w:val="000000"/>
          <w:sz w:val="32"/>
        </w:rPr>
        <w:t>区划</w:t>
      </w:r>
      <w:r>
        <w:rPr>
          <w:rFonts w:eastAsia="黑体"/>
          <w:snapToGrid w:val="0"/>
          <w:color w:val="000000"/>
          <w:sz w:val="32"/>
        </w:rPr>
        <w:t>代码表</w:t>
      </w:r>
      <w:bookmarkEnd w:id="36"/>
    </w:p>
    <w:tbl>
      <w:tblPr>
        <w:tblStyle w:val="13"/>
        <w:tblW w:w="638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1841"/>
        <w:gridCol w:w="1561"/>
        <w:gridCol w:w="1999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代码</w:t>
            </w:r>
          </w:p>
        </w:tc>
        <w:tc>
          <w:tcPr>
            <w:tcW w:w="184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名称</w:t>
            </w:r>
          </w:p>
        </w:tc>
        <w:tc>
          <w:tcPr>
            <w:tcW w:w="156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代码</w:t>
            </w:r>
          </w:p>
        </w:tc>
        <w:tc>
          <w:tcPr>
            <w:tcW w:w="199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E7E6E6" w:themeFill="background2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名称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110000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北京市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430000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湖南省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120000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天津市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440000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广东省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130000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河北省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450000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广西壮族自治区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140000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山西省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460000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海南省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150000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内蒙古自治区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500000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重庆市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210000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辽宁省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510000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四川省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220000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吉林省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520000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贵州省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230000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黑龙江省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530000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云南省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310000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上海市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540000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西藏自治区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320000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江苏省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610000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陕西省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330000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浙江省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620000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甘肃省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340000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安徽省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630000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青海省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350000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福建省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640000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宁夏回族自治区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360000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江西省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650000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新疆维吾尔自治区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370000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山东省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710000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台湾省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410000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河南省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810000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香港特别行政区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98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420000</w:t>
            </w:r>
          </w:p>
        </w:tc>
        <w:tc>
          <w:tcPr>
            <w:tcW w:w="184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湖北省</w:t>
            </w:r>
          </w:p>
        </w:tc>
        <w:tc>
          <w:tcPr>
            <w:tcW w:w="1561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820000</w:t>
            </w:r>
          </w:p>
        </w:tc>
        <w:tc>
          <w:tcPr>
            <w:tcW w:w="1999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0"/>
              </w:rPr>
              <w:t>澳门特别行政区</w:t>
            </w:r>
          </w:p>
        </w:tc>
      </w:tr>
    </w:tbl>
    <w:p/>
    <w:p>
      <w:pPr>
        <w:pStyle w:val="2"/>
        <w:pageBreakBefore/>
        <w:numPr>
          <w:ilvl w:val="0"/>
          <w:numId w:val="0"/>
        </w:numPr>
        <w:spacing w:before="240" w:after="240" w:line="360" w:lineRule="auto"/>
        <w:ind w:left="432"/>
        <w:textAlignment w:val="baseline"/>
        <w:rPr>
          <w:rFonts w:ascii="微软雅黑" w:hAnsi="微软雅黑" w:eastAsia="微软雅黑"/>
          <w:color w:val="000000"/>
          <w:sz w:val="21"/>
          <w:szCs w:val="21"/>
        </w:rPr>
      </w:pPr>
      <w:bookmarkStart w:id="37" w:name="_Toc22455"/>
      <w:bookmarkStart w:id="38" w:name="_附件三：门慢门特病种编码"/>
      <w:bookmarkStart w:id="39" w:name="_附件三：特定病种编码"/>
      <w:r>
        <w:rPr>
          <w:rFonts w:hint="eastAsia" w:eastAsia="黑体"/>
          <w:snapToGrid w:val="0"/>
          <w:color w:val="000000"/>
          <w:sz w:val="32"/>
        </w:rPr>
        <w:t>附件三：</w:t>
      </w:r>
      <w:r>
        <w:rPr>
          <w:rFonts w:hint="eastAsia" w:eastAsia="黑体"/>
          <w:snapToGrid w:val="0"/>
          <w:color w:val="000000"/>
          <w:sz w:val="32"/>
          <w:lang w:val="en-US" w:eastAsia="zh-CN"/>
        </w:rPr>
        <w:t>特定</w:t>
      </w:r>
      <w:r>
        <w:rPr>
          <w:rFonts w:hint="eastAsia" w:eastAsia="黑体"/>
          <w:snapToGrid w:val="0"/>
          <w:color w:val="000000"/>
          <w:sz w:val="32"/>
        </w:rPr>
        <w:t>病种编码</w:t>
      </w:r>
      <w:bookmarkEnd w:id="37"/>
    </w:p>
    <w:bookmarkEnd w:id="38"/>
    <w:bookmarkEnd w:id="39"/>
    <w:p>
      <w:pPr>
        <w:snapToGrid w:val="0"/>
        <w:spacing w:before="0" w:after="0" w:line="240" w:lineRule="auto"/>
        <w:jc w:val="left"/>
        <w:rPr>
          <w:rFonts w:ascii="微软雅黑" w:hAnsi="微软雅黑" w:eastAsia="微软雅黑"/>
          <w:color w:val="000000"/>
          <w:sz w:val="21"/>
          <w:szCs w:val="21"/>
        </w:rPr>
      </w:pPr>
    </w:p>
    <w:tbl>
      <w:tblPr>
        <w:tblStyle w:val="14"/>
        <w:tblW w:w="0" w:type="auto"/>
        <w:tblInd w:w="96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2235"/>
        <w:gridCol w:w="3675"/>
        <w:gridCol w:w="18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8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病种代码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病种名称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0"/>
                <w:szCs w:val="20"/>
              </w:rPr>
              <w:t>类型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M06900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类风湿性关节炎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M00200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病毒性肝炎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75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T01601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重症糖尿病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M04600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冠心病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M06200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肝硬化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0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T03901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高血压病二期（含二期）以上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M07800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慢性肾功能衰竭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M04803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脑血管病后遗症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M00500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恶性肿瘤门诊治疗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M05200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阻塞性肺气肿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M08300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器官移植抗排异治疗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M07801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透析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M02300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帕金森病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60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M02100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重症精神症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M01102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再生障碍性贫血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M07101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系统性红斑狼疮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M00100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结核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M01200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血友病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M00202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慢性丙型肝炎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M00800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白血病门诊治疗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M00301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艾滋病机会性感染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M00800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白血病门诊治疗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M04802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脑梗死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M01703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甲状腺毒性心脏病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M03200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重症肌无力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T00902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骨髓增生异常综合症(非放、化疗)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M00902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骨髓增生异常综合征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M08404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具有假体心脏瓣膜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M02500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癫痫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M00101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耐药性结核病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2"/>
                <w:szCs w:val="22"/>
              </w:rPr>
              <w:t>T01100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地中海贫血（海洋性贫血或珠蛋白生成障碍性贫血）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T00503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2"/>
                <w:szCs w:val="22"/>
              </w:rPr>
              <w:t>恶性肿瘤（内分泌治疗）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T00502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2"/>
                <w:szCs w:val="22"/>
              </w:rPr>
              <w:t>恶性肿瘤（放疗）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M00088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2"/>
                <w:szCs w:val="22"/>
              </w:rPr>
              <w:t>恶性肿瘤化学放射治疗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T00505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2"/>
                <w:szCs w:val="22"/>
              </w:rPr>
              <w:t>生物靶向治疗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T00801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甲磺酸伊马替尼治疗慢性粒细胞白血病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T00802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甲磺酸伊马替尼治疗胃肠间质瘤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M02101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精神分裂症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M03901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高血压2级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M01600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糖尿病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门慢门特病种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435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T00500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谈判抗癌药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谈判药病种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M000999</w:t>
            </w:r>
          </w:p>
        </w:tc>
        <w:tc>
          <w:tcPr>
            <w:tcW w:w="3675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非核酸检查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新冠住院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</w:p>
        </w:tc>
        <w:tc>
          <w:tcPr>
            <w:tcW w:w="3675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新冠门诊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XGJC002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核酸检查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新冠门诊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T01100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地中海贫血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住院病种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T00502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恶性肿瘤放疗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住院病种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M00088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恶性肿瘤化疗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住院病种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M07801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透析计定额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住院病种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60" w:type="dxa"/>
            <w:bottom w:w="120" w:type="dxa"/>
            <w:right w:w="60" w:type="dxa"/>
          </w:tblCellMar>
        </w:tblPrEx>
        <w:trPr>
          <w:trHeight w:val="390" w:hRule="atLeast"/>
        </w:trPr>
        <w:tc>
          <w:tcPr>
            <w:tcW w:w="223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T99997</w:t>
            </w:r>
          </w:p>
        </w:tc>
        <w:tc>
          <w:tcPr>
            <w:tcW w:w="367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透析不计定额</w:t>
            </w:r>
          </w:p>
        </w:tc>
        <w:tc>
          <w:tcPr>
            <w:tcW w:w="184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napToGrid w:val="0"/>
              <w:spacing w:before="0" w:after="0" w:line="240" w:lineRule="auto"/>
              <w:ind w:left="0" w:right="0"/>
              <w:jc w:val="center"/>
              <w:rPr>
                <w:rFonts w:ascii="微软雅黑" w:hAnsi="微软雅黑" w:eastAsia="微软雅黑"/>
                <w:color w:val="000000"/>
                <w:sz w:val="21"/>
                <w:szCs w:val="21"/>
              </w:rPr>
            </w:pPr>
            <w:r>
              <w:rPr>
                <w:rFonts w:ascii="宋体" w:hAnsi="宋体" w:eastAsia="宋体"/>
                <w:color w:val="000000"/>
                <w:spacing w:val="0"/>
                <w:sz w:val="24"/>
                <w:szCs w:val="24"/>
              </w:rPr>
              <w:t>住院病种</w:t>
            </w:r>
          </w:p>
        </w:tc>
      </w:tr>
    </w:tbl>
    <w:p/>
    <w:p/>
    <w:sectPr>
      <w:foot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VhjD8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FYYw/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C74FE3"/>
    <w:multiLevelType w:val="multilevel"/>
    <w:tmpl w:val="0DC74FE3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2520B86"/>
    <w:multiLevelType w:val="multilevel"/>
    <w:tmpl w:val="12520B86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2C710E9"/>
    <w:multiLevelType w:val="multilevel"/>
    <w:tmpl w:val="12C710E9"/>
    <w:lvl w:ilvl="0" w:tentative="0">
      <w:start w:val="1"/>
      <w:numFmt w:val="decimal"/>
      <w:lvlText w:val="%1)"/>
      <w:lvlJc w:val="left"/>
      <w:pPr>
        <w:ind w:left="780" w:hanging="42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1F9A0F25"/>
    <w:multiLevelType w:val="multilevel"/>
    <w:tmpl w:val="1F9A0F25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7817E61"/>
    <w:multiLevelType w:val="multilevel"/>
    <w:tmpl w:val="37817E61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B1A223F"/>
    <w:multiLevelType w:val="multilevel"/>
    <w:tmpl w:val="3B1A223F"/>
    <w:lvl w:ilvl="0" w:tentative="0">
      <w:start w:val="1"/>
      <w:numFmt w:val="decimal"/>
      <w:lvlText w:val="%1、"/>
      <w:lvlJc w:val="left"/>
      <w:pPr>
        <w:ind w:left="70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180" w:hanging="420"/>
      </w:pPr>
    </w:lvl>
    <w:lvl w:ilvl="2" w:tentative="0">
      <w:start w:val="1"/>
      <w:numFmt w:val="lowerRoman"/>
      <w:lvlText w:val="%3."/>
      <w:lvlJc w:val="right"/>
      <w:pPr>
        <w:ind w:left="1600" w:hanging="420"/>
      </w:pPr>
    </w:lvl>
    <w:lvl w:ilvl="3" w:tentative="0">
      <w:start w:val="1"/>
      <w:numFmt w:val="decimal"/>
      <w:lvlText w:val="%4."/>
      <w:lvlJc w:val="left"/>
      <w:pPr>
        <w:ind w:left="2020" w:hanging="420"/>
      </w:pPr>
    </w:lvl>
    <w:lvl w:ilvl="4" w:tentative="0">
      <w:start w:val="1"/>
      <w:numFmt w:val="lowerLetter"/>
      <w:lvlText w:val="%5)"/>
      <w:lvlJc w:val="left"/>
      <w:pPr>
        <w:ind w:left="2440" w:hanging="420"/>
      </w:pPr>
    </w:lvl>
    <w:lvl w:ilvl="5" w:tentative="0">
      <w:start w:val="1"/>
      <w:numFmt w:val="lowerRoman"/>
      <w:lvlText w:val="%6."/>
      <w:lvlJc w:val="right"/>
      <w:pPr>
        <w:ind w:left="2860" w:hanging="420"/>
      </w:pPr>
    </w:lvl>
    <w:lvl w:ilvl="6" w:tentative="0">
      <w:start w:val="1"/>
      <w:numFmt w:val="decimal"/>
      <w:lvlText w:val="%7."/>
      <w:lvlJc w:val="left"/>
      <w:pPr>
        <w:ind w:left="3280" w:hanging="420"/>
      </w:pPr>
    </w:lvl>
    <w:lvl w:ilvl="7" w:tentative="0">
      <w:start w:val="1"/>
      <w:numFmt w:val="lowerLetter"/>
      <w:lvlText w:val="%8)"/>
      <w:lvlJc w:val="left"/>
      <w:pPr>
        <w:ind w:left="3700" w:hanging="420"/>
      </w:pPr>
    </w:lvl>
    <w:lvl w:ilvl="8" w:tentative="0">
      <w:start w:val="1"/>
      <w:numFmt w:val="lowerRoman"/>
      <w:lvlText w:val="%9."/>
      <w:lvlJc w:val="right"/>
      <w:pPr>
        <w:ind w:left="4120" w:hanging="420"/>
      </w:pPr>
    </w:lvl>
  </w:abstractNum>
  <w:abstractNum w:abstractNumId="6">
    <w:nsid w:val="3F4E5FDD"/>
    <w:multiLevelType w:val="multilevel"/>
    <w:tmpl w:val="3F4E5FDD"/>
    <w:lvl w:ilvl="0" w:tentative="0">
      <w:start w:val="1"/>
      <w:numFmt w:val="ideographDigital"/>
      <w:pStyle w:val="2"/>
      <w:lvlText w:val="第%1章"/>
      <w:lvlJc w:val="left"/>
      <w:pPr>
        <w:tabs>
          <w:tab w:val="left" w:pos="432"/>
        </w:tabs>
        <w:ind w:left="432" w:hanging="432"/>
      </w:pPr>
      <w:rPr>
        <w:rFonts w:hint="eastAsia" w:eastAsia="黑体"/>
        <w:b/>
        <w:i w:val="0"/>
        <w:sz w:val="32"/>
        <w:szCs w:val="32"/>
      </w:rPr>
    </w:lvl>
    <w:lvl w:ilvl="1" w:tentative="0">
      <w:start w:val="1"/>
      <w:numFmt w:val="decimal"/>
      <w:isLgl/>
      <w:lvlText w:val="%1.%2"/>
      <w:lvlJc w:val="left"/>
      <w:pPr>
        <w:tabs>
          <w:tab w:val="left" w:pos="576"/>
        </w:tabs>
        <w:ind w:left="576" w:hanging="576"/>
      </w:pPr>
      <w:rPr>
        <w:rFonts w:hint="default" w:ascii="Arial" w:hAnsi="Arial" w:eastAsia="黑体"/>
        <w:b/>
        <w:i w:val="0"/>
        <w:sz w:val="28"/>
        <w:szCs w:val="28"/>
      </w:rPr>
    </w:lvl>
    <w:lvl w:ilvl="2" w:tentative="0">
      <w:start w:val="1"/>
      <w:numFmt w:val="decimal"/>
      <w:isLgl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decimal"/>
      <w:isLgl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decimal"/>
      <w:isLgl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isLgl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7">
    <w:nsid w:val="605F742A"/>
    <w:multiLevelType w:val="multilevel"/>
    <w:tmpl w:val="605F742A"/>
    <w:lvl w:ilvl="0" w:tentative="0">
      <w:start w:val="1"/>
      <w:numFmt w:val="bullet"/>
      <w:lvlText w:val=""/>
      <w:lvlJc w:val="left"/>
      <w:pPr>
        <w:ind w:left="7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0" w:hanging="420"/>
      </w:pPr>
      <w:rPr>
        <w:rFonts w:hint="default" w:ascii="Wingdings" w:hAnsi="Wingdings"/>
      </w:rPr>
    </w:lvl>
  </w:abstractNum>
  <w:abstractNum w:abstractNumId="8">
    <w:nsid w:val="656B7FA2"/>
    <w:multiLevelType w:val="multilevel"/>
    <w:tmpl w:val="656B7FA2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9B16EC4"/>
    <w:multiLevelType w:val="multilevel"/>
    <w:tmpl w:val="69B16EC4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7D57373B"/>
    <w:multiLevelType w:val="multilevel"/>
    <w:tmpl w:val="7D57373B"/>
    <w:lvl w:ilvl="0" w:tentative="0">
      <w:start w:val="1"/>
      <w:numFmt w:val="chineseCountingThousand"/>
      <w:lvlText w:val="第%1章"/>
      <w:lvlJc w:val="left"/>
      <w:pPr>
        <w:tabs>
          <w:tab w:val="left" w:pos="851"/>
        </w:tabs>
        <w:ind w:left="851" w:hanging="851"/>
      </w:pPr>
      <w:rPr>
        <w:rFonts w:hint="eastAsia" w:ascii="黑体" w:eastAsia="黑体"/>
        <w:b/>
        <w:i w:val="0"/>
        <w:sz w:val="32"/>
      </w:rPr>
    </w:lvl>
    <w:lvl w:ilvl="1" w:tentative="0">
      <w:start w:val="1"/>
      <w:numFmt w:val="decimal"/>
      <w:isLgl/>
      <w:lvlText w:val="%1.%2"/>
      <w:lvlJc w:val="left"/>
      <w:pPr>
        <w:tabs>
          <w:tab w:val="left" w:pos="936"/>
        </w:tabs>
        <w:ind w:left="936" w:hanging="576"/>
      </w:pPr>
      <w:rPr>
        <w:rFonts w:hint="default" w:ascii="Arial" w:hAnsi="Arial" w:eastAsia="黑体"/>
        <w:b/>
        <w:i w:val="0"/>
        <w:sz w:val="28"/>
      </w:rPr>
    </w:lvl>
    <w:lvl w:ilvl="2" w:tentative="0">
      <w:start w:val="1"/>
      <w:numFmt w:val="decimal"/>
      <w:isLgl/>
      <w:suff w:val="space"/>
      <w:lvlText w:val="%1.%2.%3"/>
      <w:lvlJc w:val="left"/>
      <w:pPr>
        <w:ind w:left="340" w:hanging="340"/>
      </w:pPr>
      <w:rPr>
        <w:rFonts w:hint="eastAsia" w:ascii="Times New Roman" w:hAnsi="Times New Roman" w:eastAsia="宋体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2"/>
        <w:position w:val="0"/>
        <w:sz w:val="32"/>
        <w:u w:val="none"/>
        <w:shd w:val="clear" w:color="auto" w:fill="auto"/>
      </w:rPr>
    </w:lvl>
    <w:lvl w:ilvl="3" w:tentative="0">
      <w:start w:val="1"/>
      <w:numFmt w:val="decimal"/>
      <w:isLgl/>
      <w:suff w:val="space"/>
      <w:lvlText w:val="%1.%2.%3.%4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isLgl/>
      <w:suff w:val="space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isLgl/>
      <w:lvlText w:val="%1.%2.%3.%4.%5.%6"/>
      <w:lvlJc w:val="left"/>
      <w:pPr>
        <w:tabs>
          <w:tab w:val="left" w:pos="1440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6"/>
  </w:num>
  <w:num w:numId="2">
    <w:abstractNumId w:val="10"/>
  </w:num>
  <w:num w:numId="3">
    <w:abstractNumId w:val="1"/>
  </w:num>
  <w:num w:numId="4">
    <w:abstractNumId w:val="5"/>
  </w:num>
  <w:num w:numId="5">
    <w:abstractNumId w:val="3"/>
  </w:num>
  <w:num w:numId="6">
    <w:abstractNumId w:val="7"/>
  </w:num>
  <w:num w:numId="7">
    <w:abstractNumId w:val="8"/>
  </w:num>
  <w:num w:numId="8">
    <w:abstractNumId w:val="0"/>
  </w:num>
  <w:num w:numId="9">
    <w:abstractNumId w:val="9"/>
  </w:num>
  <w:num w:numId="10">
    <w:abstractNumId w:val="4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JkNzVhMTdlMWRiMDk1MDI2NGE4NDYwNWM5M2QzZWMifQ=="/>
  </w:docVars>
  <w:rsids>
    <w:rsidRoot w:val="00172A27"/>
    <w:rsid w:val="00003876"/>
    <w:rsid w:val="00010B80"/>
    <w:rsid w:val="000173D4"/>
    <w:rsid w:val="00030B8B"/>
    <w:rsid w:val="0003241A"/>
    <w:rsid w:val="00034703"/>
    <w:rsid w:val="00036163"/>
    <w:rsid w:val="00037055"/>
    <w:rsid w:val="00047F1E"/>
    <w:rsid w:val="00051675"/>
    <w:rsid w:val="00051909"/>
    <w:rsid w:val="000539F0"/>
    <w:rsid w:val="00065C73"/>
    <w:rsid w:val="00066234"/>
    <w:rsid w:val="00093101"/>
    <w:rsid w:val="00095571"/>
    <w:rsid w:val="000971E9"/>
    <w:rsid w:val="000A27E2"/>
    <w:rsid w:val="000B04C3"/>
    <w:rsid w:val="000B2914"/>
    <w:rsid w:val="000B67D9"/>
    <w:rsid w:val="000E0FD0"/>
    <w:rsid w:val="00125BA1"/>
    <w:rsid w:val="001403CD"/>
    <w:rsid w:val="001447A9"/>
    <w:rsid w:val="0014520E"/>
    <w:rsid w:val="00152B1D"/>
    <w:rsid w:val="00153298"/>
    <w:rsid w:val="00160F34"/>
    <w:rsid w:val="00177B76"/>
    <w:rsid w:val="001927AC"/>
    <w:rsid w:val="00193516"/>
    <w:rsid w:val="00194010"/>
    <w:rsid w:val="001A2DB3"/>
    <w:rsid w:val="001A4C7D"/>
    <w:rsid w:val="001A7838"/>
    <w:rsid w:val="001B1C62"/>
    <w:rsid w:val="001B42A5"/>
    <w:rsid w:val="001C1F23"/>
    <w:rsid w:val="001D14F2"/>
    <w:rsid w:val="001E07C8"/>
    <w:rsid w:val="001E726D"/>
    <w:rsid w:val="001F13DF"/>
    <w:rsid w:val="001F3965"/>
    <w:rsid w:val="002043BF"/>
    <w:rsid w:val="0022483F"/>
    <w:rsid w:val="002326DE"/>
    <w:rsid w:val="00235012"/>
    <w:rsid w:val="00240D77"/>
    <w:rsid w:val="00274A10"/>
    <w:rsid w:val="0029060B"/>
    <w:rsid w:val="0029548F"/>
    <w:rsid w:val="002A308D"/>
    <w:rsid w:val="002B143A"/>
    <w:rsid w:val="002E226B"/>
    <w:rsid w:val="002F45DB"/>
    <w:rsid w:val="002F5A91"/>
    <w:rsid w:val="0030032D"/>
    <w:rsid w:val="00316C85"/>
    <w:rsid w:val="00317F96"/>
    <w:rsid w:val="00323779"/>
    <w:rsid w:val="0033480B"/>
    <w:rsid w:val="003503FD"/>
    <w:rsid w:val="00350B49"/>
    <w:rsid w:val="00351E3F"/>
    <w:rsid w:val="003601B1"/>
    <w:rsid w:val="00360484"/>
    <w:rsid w:val="00362C88"/>
    <w:rsid w:val="00373368"/>
    <w:rsid w:val="00374AFC"/>
    <w:rsid w:val="00391D2C"/>
    <w:rsid w:val="003928E1"/>
    <w:rsid w:val="003972C7"/>
    <w:rsid w:val="003B2E0D"/>
    <w:rsid w:val="003B576E"/>
    <w:rsid w:val="003B5E5A"/>
    <w:rsid w:val="003B5F61"/>
    <w:rsid w:val="003B64FB"/>
    <w:rsid w:val="003D344A"/>
    <w:rsid w:val="003E158D"/>
    <w:rsid w:val="003E7D65"/>
    <w:rsid w:val="003F305A"/>
    <w:rsid w:val="003F7499"/>
    <w:rsid w:val="004126BC"/>
    <w:rsid w:val="0041612A"/>
    <w:rsid w:val="00423A32"/>
    <w:rsid w:val="00423BD2"/>
    <w:rsid w:val="0043514E"/>
    <w:rsid w:val="00436606"/>
    <w:rsid w:val="0043744E"/>
    <w:rsid w:val="00446634"/>
    <w:rsid w:val="00467CA3"/>
    <w:rsid w:val="00471195"/>
    <w:rsid w:val="00471748"/>
    <w:rsid w:val="00474F92"/>
    <w:rsid w:val="00483FC0"/>
    <w:rsid w:val="00487154"/>
    <w:rsid w:val="00492518"/>
    <w:rsid w:val="00492637"/>
    <w:rsid w:val="004974A2"/>
    <w:rsid w:val="004A49CB"/>
    <w:rsid w:val="004A74E5"/>
    <w:rsid w:val="004B46E8"/>
    <w:rsid w:val="004B5E2D"/>
    <w:rsid w:val="004C01EF"/>
    <w:rsid w:val="004D7674"/>
    <w:rsid w:val="004F1332"/>
    <w:rsid w:val="004F77CA"/>
    <w:rsid w:val="004F7FC5"/>
    <w:rsid w:val="00505409"/>
    <w:rsid w:val="00507545"/>
    <w:rsid w:val="00512E04"/>
    <w:rsid w:val="0051617B"/>
    <w:rsid w:val="005227BB"/>
    <w:rsid w:val="0053661C"/>
    <w:rsid w:val="005366EC"/>
    <w:rsid w:val="00552622"/>
    <w:rsid w:val="00562BCE"/>
    <w:rsid w:val="00570759"/>
    <w:rsid w:val="00596546"/>
    <w:rsid w:val="00597721"/>
    <w:rsid w:val="005C0D4B"/>
    <w:rsid w:val="005C44B8"/>
    <w:rsid w:val="005D6897"/>
    <w:rsid w:val="005E2B6B"/>
    <w:rsid w:val="005F742F"/>
    <w:rsid w:val="00600F0C"/>
    <w:rsid w:val="00602057"/>
    <w:rsid w:val="00604224"/>
    <w:rsid w:val="00611FA9"/>
    <w:rsid w:val="00613948"/>
    <w:rsid w:val="00621C69"/>
    <w:rsid w:val="00622E36"/>
    <w:rsid w:val="006365CD"/>
    <w:rsid w:val="006371D6"/>
    <w:rsid w:val="00686B86"/>
    <w:rsid w:val="00696E5A"/>
    <w:rsid w:val="00697E7C"/>
    <w:rsid w:val="006A03A0"/>
    <w:rsid w:val="006A04C2"/>
    <w:rsid w:val="006A4ECB"/>
    <w:rsid w:val="006B0AD0"/>
    <w:rsid w:val="006C00A1"/>
    <w:rsid w:val="006C0638"/>
    <w:rsid w:val="006D45B8"/>
    <w:rsid w:val="006E552F"/>
    <w:rsid w:val="006F2322"/>
    <w:rsid w:val="006F687E"/>
    <w:rsid w:val="0070288D"/>
    <w:rsid w:val="00723201"/>
    <w:rsid w:val="00724804"/>
    <w:rsid w:val="00734FE3"/>
    <w:rsid w:val="0074063E"/>
    <w:rsid w:val="00770787"/>
    <w:rsid w:val="007731A4"/>
    <w:rsid w:val="00790805"/>
    <w:rsid w:val="007C285C"/>
    <w:rsid w:val="00801A53"/>
    <w:rsid w:val="00806864"/>
    <w:rsid w:val="00812B70"/>
    <w:rsid w:val="008138D0"/>
    <w:rsid w:val="00813FEA"/>
    <w:rsid w:val="00814EB8"/>
    <w:rsid w:val="008225B2"/>
    <w:rsid w:val="00842FB8"/>
    <w:rsid w:val="00857067"/>
    <w:rsid w:val="00861511"/>
    <w:rsid w:val="008665C4"/>
    <w:rsid w:val="00870485"/>
    <w:rsid w:val="00887577"/>
    <w:rsid w:val="00894E67"/>
    <w:rsid w:val="008A3782"/>
    <w:rsid w:val="008B52F3"/>
    <w:rsid w:val="008C63AE"/>
    <w:rsid w:val="008D240C"/>
    <w:rsid w:val="008D79FB"/>
    <w:rsid w:val="008E026F"/>
    <w:rsid w:val="00902678"/>
    <w:rsid w:val="0090605D"/>
    <w:rsid w:val="00906EB5"/>
    <w:rsid w:val="009204C0"/>
    <w:rsid w:val="009215B5"/>
    <w:rsid w:val="00944637"/>
    <w:rsid w:val="00947C5A"/>
    <w:rsid w:val="00947F73"/>
    <w:rsid w:val="00953E2E"/>
    <w:rsid w:val="0097115B"/>
    <w:rsid w:val="009729D8"/>
    <w:rsid w:val="00974C1B"/>
    <w:rsid w:val="009752FE"/>
    <w:rsid w:val="009841EE"/>
    <w:rsid w:val="009856B6"/>
    <w:rsid w:val="009A02C3"/>
    <w:rsid w:val="009A2D59"/>
    <w:rsid w:val="009B22F0"/>
    <w:rsid w:val="009B3EA4"/>
    <w:rsid w:val="009B40B2"/>
    <w:rsid w:val="009B55A1"/>
    <w:rsid w:val="009C55F5"/>
    <w:rsid w:val="009D151C"/>
    <w:rsid w:val="00A07782"/>
    <w:rsid w:val="00A07E67"/>
    <w:rsid w:val="00A15FA3"/>
    <w:rsid w:val="00A20A55"/>
    <w:rsid w:val="00A26980"/>
    <w:rsid w:val="00A32DCE"/>
    <w:rsid w:val="00A36C7C"/>
    <w:rsid w:val="00A6525C"/>
    <w:rsid w:val="00A6702C"/>
    <w:rsid w:val="00A72B2C"/>
    <w:rsid w:val="00A74A7D"/>
    <w:rsid w:val="00A82C93"/>
    <w:rsid w:val="00A90667"/>
    <w:rsid w:val="00AA2F37"/>
    <w:rsid w:val="00AA7977"/>
    <w:rsid w:val="00AB4405"/>
    <w:rsid w:val="00AB54B1"/>
    <w:rsid w:val="00AC6FE9"/>
    <w:rsid w:val="00AD1233"/>
    <w:rsid w:val="00AD3301"/>
    <w:rsid w:val="00AE4A18"/>
    <w:rsid w:val="00AF652C"/>
    <w:rsid w:val="00B02CB9"/>
    <w:rsid w:val="00B07048"/>
    <w:rsid w:val="00B216E0"/>
    <w:rsid w:val="00B50783"/>
    <w:rsid w:val="00B570A0"/>
    <w:rsid w:val="00B60B63"/>
    <w:rsid w:val="00B6143C"/>
    <w:rsid w:val="00B717DC"/>
    <w:rsid w:val="00B76A2E"/>
    <w:rsid w:val="00B819A2"/>
    <w:rsid w:val="00B91D1C"/>
    <w:rsid w:val="00B95036"/>
    <w:rsid w:val="00B97E1F"/>
    <w:rsid w:val="00BA3AFA"/>
    <w:rsid w:val="00BA439D"/>
    <w:rsid w:val="00BA5090"/>
    <w:rsid w:val="00BB461B"/>
    <w:rsid w:val="00BD0A45"/>
    <w:rsid w:val="00BD18D7"/>
    <w:rsid w:val="00BD2539"/>
    <w:rsid w:val="00BF23D7"/>
    <w:rsid w:val="00C16624"/>
    <w:rsid w:val="00C35640"/>
    <w:rsid w:val="00C359A3"/>
    <w:rsid w:val="00C36FB9"/>
    <w:rsid w:val="00C45D56"/>
    <w:rsid w:val="00C6560F"/>
    <w:rsid w:val="00C67134"/>
    <w:rsid w:val="00C70A5C"/>
    <w:rsid w:val="00C7280D"/>
    <w:rsid w:val="00C86CFE"/>
    <w:rsid w:val="00CA40C3"/>
    <w:rsid w:val="00CA5A68"/>
    <w:rsid w:val="00CB1880"/>
    <w:rsid w:val="00CC044D"/>
    <w:rsid w:val="00CC339E"/>
    <w:rsid w:val="00CC6579"/>
    <w:rsid w:val="00CC660C"/>
    <w:rsid w:val="00CF6C4F"/>
    <w:rsid w:val="00D0218A"/>
    <w:rsid w:val="00D02309"/>
    <w:rsid w:val="00D025B9"/>
    <w:rsid w:val="00D03282"/>
    <w:rsid w:val="00D17F8B"/>
    <w:rsid w:val="00D22473"/>
    <w:rsid w:val="00D30875"/>
    <w:rsid w:val="00D37E23"/>
    <w:rsid w:val="00D40630"/>
    <w:rsid w:val="00D46D6C"/>
    <w:rsid w:val="00D517D4"/>
    <w:rsid w:val="00D53A1C"/>
    <w:rsid w:val="00D53BB6"/>
    <w:rsid w:val="00D5535B"/>
    <w:rsid w:val="00D55464"/>
    <w:rsid w:val="00D62EC2"/>
    <w:rsid w:val="00D639C0"/>
    <w:rsid w:val="00D64745"/>
    <w:rsid w:val="00D743CD"/>
    <w:rsid w:val="00D85EE5"/>
    <w:rsid w:val="00DA3126"/>
    <w:rsid w:val="00DA4AB0"/>
    <w:rsid w:val="00DE064B"/>
    <w:rsid w:val="00DE1F3D"/>
    <w:rsid w:val="00DE3CA0"/>
    <w:rsid w:val="00DE5A46"/>
    <w:rsid w:val="00DF2E3F"/>
    <w:rsid w:val="00E0285C"/>
    <w:rsid w:val="00E03F9B"/>
    <w:rsid w:val="00E0754E"/>
    <w:rsid w:val="00E10355"/>
    <w:rsid w:val="00E22A1F"/>
    <w:rsid w:val="00E2508E"/>
    <w:rsid w:val="00E324E1"/>
    <w:rsid w:val="00E460CA"/>
    <w:rsid w:val="00E50853"/>
    <w:rsid w:val="00E55737"/>
    <w:rsid w:val="00E64CD2"/>
    <w:rsid w:val="00E66ECD"/>
    <w:rsid w:val="00E81683"/>
    <w:rsid w:val="00E92815"/>
    <w:rsid w:val="00E93E5A"/>
    <w:rsid w:val="00EA1E11"/>
    <w:rsid w:val="00EA4793"/>
    <w:rsid w:val="00ED30DC"/>
    <w:rsid w:val="00EF170F"/>
    <w:rsid w:val="00F0287C"/>
    <w:rsid w:val="00F03D44"/>
    <w:rsid w:val="00F335D1"/>
    <w:rsid w:val="00F60377"/>
    <w:rsid w:val="00F62210"/>
    <w:rsid w:val="00F91257"/>
    <w:rsid w:val="00F979D8"/>
    <w:rsid w:val="00FA395D"/>
    <w:rsid w:val="00FB3D02"/>
    <w:rsid w:val="00FE0C39"/>
    <w:rsid w:val="00FE6DD3"/>
    <w:rsid w:val="00FF0DD1"/>
    <w:rsid w:val="00FF55DF"/>
    <w:rsid w:val="00FF60EC"/>
    <w:rsid w:val="01746024"/>
    <w:rsid w:val="02AA63AF"/>
    <w:rsid w:val="03960EF1"/>
    <w:rsid w:val="03E0731B"/>
    <w:rsid w:val="04DF41DE"/>
    <w:rsid w:val="054B3515"/>
    <w:rsid w:val="05DB3D75"/>
    <w:rsid w:val="064B57EA"/>
    <w:rsid w:val="069735FD"/>
    <w:rsid w:val="07026389"/>
    <w:rsid w:val="07310C73"/>
    <w:rsid w:val="073A0C42"/>
    <w:rsid w:val="08F947D3"/>
    <w:rsid w:val="0AF3390E"/>
    <w:rsid w:val="0DDA3FA2"/>
    <w:rsid w:val="0FE50513"/>
    <w:rsid w:val="0FED3BB3"/>
    <w:rsid w:val="100D50F8"/>
    <w:rsid w:val="12BF71E8"/>
    <w:rsid w:val="14C943FA"/>
    <w:rsid w:val="16ED1A08"/>
    <w:rsid w:val="176D10F4"/>
    <w:rsid w:val="18096966"/>
    <w:rsid w:val="182C7630"/>
    <w:rsid w:val="192A11B9"/>
    <w:rsid w:val="19E57763"/>
    <w:rsid w:val="1A640FE1"/>
    <w:rsid w:val="1B8A5429"/>
    <w:rsid w:val="1BB3097F"/>
    <w:rsid w:val="1C00658A"/>
    <w:rsid w:val="1D0C4FAB"/>
    <w:rsid w:val="1D5E1718"/>
    <w:rsid w:val="1DEC1EF6"/>
    <w:rsid w:val="1FAA4AC6"/>
    <w:rsid w:val="1FAE072E"/>
    <w:rsid w:val="24B26A9E"/>
    <w:rsid w:val="25C83179"/>
    <w:rsid w:val="27503E97"/>
    <w:rsid w:val="28B00D9B"/>
    <w:rsid w:val="28C60902"/>
    <w:rsid w:val="29087310"/>
    <w:rsid w:val="2A235D33"/>
    <w:rsid w:val="2A8F3E61"/>
    <w:rsid w:val="2C292F43"/>
    <w:rsid w:val="2CF2447C"/>
    <w:rsid w:val="2DD24D0C"/>
    <w:rsid w:val="2E12434B"/>
    <w:rsid w:val="2E870518"/>
    <w:rsid w:val="2F8F52C2"/>
    <w:rsid w:val="2FFE530C"/>
    <w:rsid w:val="30113C89"/>
    <w:rsid w:val="307978D5"/>
    <w:rsid w:val="30E55EB1"/>
    <w:rsid w:val="31DB4FF7"/>
    <w:rsid w:val="32036508"/>
    <w:rsid w:val="32BA1513"/>
    <w:rsid w:val="33797F2D"/>
    <w:rsid w:val="34F45F21"/>
    <w:rsid w:val="364A5522"/>
    <w:rsid w:val="37112291"/>
    <w:rsid w:val="37351673"/>
    <w:rsid w:val="382F4600"/>
    <w:rsid w:val="3AB83051"/>
    <w:rsid w:val="3C36596B"/>
    <w:rsid w:val="3C806EE9"/>
    <w:rsid w:val="3C8B5585"/>
    <w:rsid w:val="3CBA6DDC"/>
    <w:rsid w:val="3D4D0926"/>
    <w:rsid w:val="3DB67DA0"/>
    <w:rsid w:val="3E3A5CBA"/>
    <w:rsid w:val="3EA273BD"/>
    <w:rsid w:val="3EB649A2"/>
    <w:rsid w:val="3F67126A"/>
    <w:rsid w:val="3FEA2E6C"/>
    <w:rsid w:val="408656C5"/>
    <w:rsid w:val="41DA5225"/>
    <w:rsid w:val="42C32695"/>
    <w:rsid w:val="445F1415"/>
    <w:rsid w:val="44862E84"/>
    <w:rsid w:val="45F639C0"/>
    <w:rsid w:val="47D93FC3"/>
    <w:rsid w:val="488650BB"/>
    <w:rsid w:val="49F06B16"/>
    <w:rsid w:val="4AC12D52"/>
    <w:rsid w:val="4AE149D5"/>
    <w:rsid w:val="4C5C165D"/>
    <w:rsid w:val="4C9E4E47"/>
    <w:rsid w:val="4E0522AD"/>
    <w:rsid w:val="4EF62296"/>
    <w:rsid w:val="4FEF2AA1"/>
    <w:rsid w:val="4FF32C56"/>
    <w:rsid w:val="5047316E"/>
    <w:rsid w:val="50530850"/>
    <w:rsid w:val="50D964D4"/>
    <w:rsid w:val="51F3438B"/>
    <w:rsid w:val="523D30D8"/>
    <w:rsid w:val="524C0322"/>
    <w:rsid w:val="52F90729"/>
    <w:rsid w:val="532E442D"/>
    <w:rsid w:val="536B0D54"/>
    <w:rsid w:val="537C280C"/>
    <w:rsid w:val="53B85046"/>
    <w:rsid w:val="552B2C7B"/>
    <w:rsid w:val="558531DF"/>
    <w:rsid w:val="565E5853"/>
    <w:rsid w:val="56E71C51"/>
    <w:rsid w:val="59D36BF1"/>
    <w:rsid w:val="5A5C6308"/>
    <w:rsid w:val="5AD619BE"/>
    <w:rsid w:val="5B685A79"/>
    <w:rsid w:val="5C0C4D3B"/>
    <w:rsid w:val="5C3B6801"/>
    <w:rsid w:val="5D146155"/>
    <w:rsid w:val="5E041282"/>
    <w:rsid w:val="5E7269A3"/>
    <w:rsid w:val="5FF01EE9"/>
    <w:rsid w:val="60AE2E04"/>
    <w:rsid w:val="6118306B"/>
    <w:rsid w:val="61255884"/>
    <w:rsid w:val="614B4222"/>
    <w:rsid w:val="618735FA"/>
    <w:rsid w:val="63C352B7"/>
    <w:rsid w:val="65301D1A"/>
    <w:rsid w:val="65F41B6A"/>
    <w:rsid w:val="66401FA1"/>
    <w:rsid w:val="67C54253"/>
    <w:rsid w:val="67D347E3"/>
    <w:rsid w:val="68402B70"/>
    <w:rsid w:val="68DB3E01"/>
    <w:rsid w:val="691A69EA"/>
    <w:rsid w:val="69963B06"/>
    <w:rsid w:val="6BA63184"/>
    <w:rsid w:val="6DF83CC2"/>
    <w:rsid w:val="6EFE2AF0"/>
    <w:rsid w:val="6F494476"/>
    <w:rsid w:val="70576AD2"/>
    <w:rsid w:val="71AF345F"/>
    <w:rsid w:val="72073D09"/>
    <w:rsid w:val="72105C9C"/>
    <w:rsid w:val="73452D72"/>
    <w:rsid w:val="742F6C00"/>
    <w:rsid w:val="74D43106"/>
    <w:rsid w:val="76585385"/>
    <w:rsid w:val="76DA04A4"/>
    <w:rsid w:val="76F534F3"/>
    <w:rsid w:val="77210135"/>
    <w:rsid w:val="77561C2A"/>
    <w:rsid w:val="789D0172"/>
    <w:rsid w:val="78EB78BC"/>
    <w:rsid w:val="793570DE"/>
    <w:rsid w:val="79CB4E62"/>
    <w:rsid w:val="7AFD6CDB"/>
    <w:rsid w:val="7D3F0BA2"/>
    <w:rsid w:val="7D6A429A"/>
    <w:rsid w:val="7DDA52AB"/>
    <w:rsid w:val="7E012F53"/>
    <w:rsid w:val="7EB47359"/>
    <w:rsid w:val="7ED4175C"/>
    <w:rsid w:val="7EE92E70"/>
    <w:rsid w:val="7FA30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1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ascii="Times New Roman" w:hAnsi="Times New Roman" w:eastAsia="宋体" w:cs="Times New Roman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7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7">
    <w:name w:val="Balloon Text"/>
    <w:basedOn w:val="1"/>
    <w:link w:val="30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11">
    <w:name w:val="toc 2"/>
    <w:basedOn w:val="1"/>
    <w:next w:val="1"/>
    <w:unhideWhenUsed/>
    <w:qFormat/>
    <w:uiPriority w:val="3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2">
    <w:name w:val="Title"/>
    <w:basedOn w:val="1"/>
    <w:next w:val="1"/>
    <w:link w:val="29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14">
    <w:name w:val="Table Grid"/>
    <w:basedOn w:val="13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6">
    <w:name w:val="FollowedHyperlink"/>
    <w:basedOn w:val="15"/>
    <w:semiHidden/>
    <w:unhideWhenUsed/>
    <w:qFormat/>
    <w:uiPriority w:val="99"/>
    <w:rPr>
      <w:color w:val="800080"/>
      <w:u w:val="single"/>
    </w:rPr>
  </w:style>
  <w:style w:type="character" w:styleId="17">
    <w:name w:val="Hyperlink"/>
    <w:basedOn w:val="1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页眉 Char"/>
    <w:basedOn w:val="15"/>
    <w:link w:val="9"/>
    <w:qFormat/>
    <w:uiPriority w:val="99"/>
    <w:rPr>
      <w:sz w:val="18"/>
      <w:szCs w:val="18"/>
    </w:rPr>
  </w:style>
  <w:style w:type="character" w:customStyle="1" w:styleId="19">
    <w:name w:val="页脚 Char"/>
    <w:basedOn w:val="15"/>
    <w:link w:val="8"/>
    <w:qFormat/>
    <w:uiPriority w:val="99"/>
    <w:rPr>
      <w:sz w:val="18"/>
      <w:szCs w:val="18"/>
    </w:rPr>
  </w:style>
  <w:style w:type="character" w:customStyle="1" w:styleId="20">
    <w:name w:val="表格正文 Char"/>
    <w:link w:val="21"/>
    <w:qFormat/>
    <w:uiPriority w:val="0"/>
    <w:rPr>
      <w:szCs w:val="24"/>
    </w:rPr>
  </w:style>
  <w:style w:type="paragraph" w:customStyle="1" w:styleId="21">
    <w:name w:val="表格正文"/>
    <w:basedOn w:val="1"/>
    <w:link w:val="20"/>
    <w:qFormat/>
    <w:uiPriority w:val="0"/>
    <w:pPr>
      <w:spacing w:line="360" w:lineRule="atLeast"/>
      <w:textAlignment w:val="baseline"/>
    </w:pPr>
    <w:rPr>
      <w:szCs w:val="24"/>
    </w:rPr>
  </w:style>
  <w:style w:type="paragraph" w:customStyle="1" w:styleId="22">
    <w:name w:val="表格标题"/>
    <w:basedOn w:val="21"/>
    <w:next w:val="21"/>
    <w:qFormat/>
    <w:uiPriority w:val="0"/>
    <w:pPr>
      <w:jc w:val="center"/>
    </w:pPr>
    <w:rPr>
      <w:b/>
    </w:rPr>
  </w:style>
  <w:style w:type="character" w:customStyle="1" w:styleId="23">
    <w:name w:val="标题 1 Char"/>
    <w:basedOn w:val="15"/>
    <w:link w:val="2"/>
    <w:qFormat/>
    <w:uiPriority w:val="1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4">
    <w:name w:val="标题 2 Char"/>
    <w:basedOn w:val="15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5">
    <w:name w:val="标题 3 Char"/>
    <w:basedOn w:val="15"/>
    <w:link w:val="4"/>
    <w:qFormat/>
    <w:uiPriority w:val="9"/>
    <w:rPr>
      <w:b/>
      <w:bCs/>
      <w:sz w:val="32"/>
      <w:szCs w:val="32"/>
    </w:rPr>
  </w:style>
  <w:style w:type="paragraph" w:styleId="26">
    <w:name w:val="List Paragraph"/>
    <w:basedOn w:val="1"/>
    <w:qFormat/>
    <w:uiPriority w:val="34"/>
    <w:pPr>
      <w:ind w:firstLine="420" w:firstLineChars="200"/>
    </w:pPr>
  </w:style>
  <w:style w:type="character" w:customStyle="1" w:styleId="27">
    <w:name w:val="标题 4 Char"/>
    <w:basedOn w:val="15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customStyle="1" w:styleId="28">
    <w:name w:val="TOC 标题1"/>
    <w:basedOn w:val="2"/>
    <w:next w:val="1"/>
    <w:unhideWhenUsed/>
    <w:qFormat/>
    <w:uiPriority w:val="39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9">
    <w:name w:val="标题 Char"/>
    <w:basedOn w:val="15"/>
    <w:link w:val="12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30">
    <w:name w:val="批注框文本 Char"/>
    <w:basedOn w:val="15"/>
    <w:link w:val="7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A2E68C1-FAD2-4D33-BC87-C82F790E7EA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4572</Words>
  <Characters>9483</Characters>
  <Lines>152</Lines>
  <Paragraphs>42</Paragraphs>
  <TotalTime>1</TotalTime>
  <ScaleCrop>false</ScaleCrop>
  <LinksUpToDate>false</LinksUpToDate>
  <CharactersWithSpaces>9852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2020-12-12T07:06:00Z</dcterms:created>
  <dc:creator>温志锋_医疗</dc:creator>
  <cp:lastModifiedBy>Viken</cp:lastModifiedBy>
  <dcterms:modified xsi:type="dcterms:W3CDTF">2022-10-23T10:02:15Z</dcterms:modified>
  <cp:revision>253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E1B7DD09F6B449E89B5F53DCBD893DDA</vt:lpwstr>
  </property>
  <property fmtid="{D5CDD505-2E9C-101B-9397-08002B2CF9AE}" pid="4" name="commondata">
    <vt:lpwstr>eyJoZGlkIjoiNDJkNzVhMTdlMWRiMDk1MDI2NGE4NDYwNWM5M2QzZWMifQ==</vt:lpwstr>
  </property>
</Properties>
</file>