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黑体" w:eastAsia="黑体"/>
          <w:b/>
          <w:sz w:val="72"/>
          <w:szCs w:val="72"/>
        </w:rPr>
      </w:pPr>
    </w:p>
    <w:p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思迅软件数据转换工具</w:t>
      </w:r>
    </w:p>
    <w:p>
      <w:pPr>
        <w:jc w:val="center"/>
        <w:rPr>
          <w:sz w:val="32"/>
          <w:szCs w:val="32"/>
        </w:rPr>
      </w:pPr>
    </w:p>
    <w:p>
      <w:pPr>
        <w:pStyle w:val="17"/>
        <w:numPr>
          <w:ilvl w:val="0"/>
          <w:numId w:val="1"/>
        </w:numPr>
        <w:ind w:firstLineChars="0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 xml:space="preserve">  操作手册</w:t>
      </w: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  <w:jc w:val="center"/>
        <w:rPr>
          <w:b/>
          <w:sz w:val="44"/>
          <w:szCs w:val="44"/>
        </w:rPr>
      </w:pPr>
      <w:r>
        <w:rPr>
          <w:rFonts w:ascii="宋体" w:hAnsi="宋体"/>
        </w:rPr>
        <w:drawing>
          <wp:inline distT="0" distB="0" distL="0" distR="0">
            <wp:extent cx="1104900" cy="381000"/>
            <wp:effectExtent l="19050" t="0" r="0" b="0"/>
            <wp:docPr id="3" name="图片 2" descr="n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nlo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12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深圳万国思迅软件有限公司</w:t>
      </w:r>
    </w:p>
    <w:p>
      <w:pPr>
        <w:spacing w:line="312" w:lineRule="auto"/>
        <w:jc w:val="center"/>
        <w:rPr>
          <w:rFonts w:ascii="宋体" w:hAnsi="宋体" w:cs="Arial"/>
          <w:b/>
          <w:sz w:val="16"/>
          <w:szCs w:val="16"/>
        </w:rPr>
      </w:pPr>
      <w:r>
        <w:rPr>
          <w:rFonts w:hint="eastAsia" w:ascii="宋体" w:hAnsi="宋体"/>
          <w:b/>
          <w:sz w:val="16"/>
          <w:szCs w:val="16"/>
        </w:rPr>
        <w:t>Shenzhen International Solusoft Software Co.,Ltd.</w:t>
      </w:r>
    </w:p>
    <w:p>
      <w:pPr>
        <w:spacing w:line="360" w:lineRule="auto"/>
        <w:jc w:val="center"/>
        <w:rPr>
          <w:b/>
          <w:sz w:val="44"/>
          <w:szCs w:val="44"/>
        </w:rPr>
      </w:pPr>
    </w:p>
    <w:p>
      <w:pPr>
        <w:spacing w:line="360" w:lineRule="auto"/>
      </w:pPr>
    </w:p>
    <w:p>
      <w:pPr>
        <w:pStyle w:val="3"/>
      </w:pPr>
      <w:r>
        <w:rPr>
          <w:rFonts w:hint="eastAsia"/>
        </w:rPr>
        <w:t>操作流程：</w:t>
      </w:r>
    </w:p>
    <w:p>
      <w:pPr>
        <w:spacing w:line="360" w:lineRule="auto"/>
      </w:pPr>
      <w:r>
        <w:pict>
          <v:roundrect id="_x0000_s2053" o:spid="_x0000_s2053" o:spt="2" style="position:absolute;left:0pt;margin-left:226.85pt;margin-top:21.75pt;height:26.5pt;width:87.2pt;z-index:251666432;mso-width-relative:page;mso-height-relative:page;" fillcolor="#8064A2 [3207]" filled="t" stroked="t" coordsize="21600,21600" arcsize="0.166666666666667">
            <v:path/>
            <v:fill on="t" focussize="0,0"/>
            <v:stroke weight="3pt" color="#F2F2F2 [3041]"/>
            <v:imagedata o:title=""/>
            <o:lock v:ext="edit"/>
            <v:shadow on="t" type="perspective" color="#3F3151 [1607]" opacity="32768f" offset="1pt,2pt" offset2="-1pt,-2pt"/>
            <v:textbox>
              <w:txbxContent>
                <w:p>
                  <w:pPr/>
                  <w:r>
                    <w:rPr>
                      <w:rFonts w:hint="eastAsia"/>
                      <w:color w:val="FFFFFF" w:themeColor="background1"/>
                    </w:rPr>
                    <w:t>数据导入软件</w:t>
                  </w:r>
                </w:p>
              </w:txbxContent>
            </v:textbox>
          </v:roundrect>
        </w:pict>
      </w:r>
      <w:r>
        <w:pict>
          <v:roundrect id="_x0000_s2052" o:spid="_x0000_s2052" o:spt="2" style="position:absolute;left:0pt;margin-left:117.35pt;margin-top:21.75pt;height:26.5pt;width:84.6pt;z-index:251665408;mso-width-relative:page;mso-height-relative:page;" fillcolor="#F79646 [3209]" filled="t" stroked="t" coordsize="21600,21600" arcsize="0.166666666666667">
            <v:path/>
            <v:fill on="t" focussize="0,0"/>
            <v:stroke weight="3pt" color="#F2F2F2 [3041]"/>
            <v:imagedata o:title=""/>
            <o:lock v:ext="edit"/>
            <v:shadow on="t" type="perspective" color="#974706 [1609]" opacity="32768f" offset="1pt,2pt" offset2="-1pt,-2pt"/>
            <v:textbox>
              <w:txbxContent>
                <w:p>
                  <w:pPr>
                    <w:rPr>
                      <w:color w:val="FFFFFF" w:themeColor="background1"/>
                    </w:rPr>
                  </w:pPr>
                  <w:r>
                    <w:rPr>
                      <w:rFonts w:hint="eastAsia"/>
                      <w:color w:val="FFFFFF" w:themeColor="background1"/>
                    </w:rPr>
                    <w:t>工具转换数据</w:t>
                  </w:r>
                </w:p>
              </w:txbxContent>
            </v:textbox>
          </v:roundrect>
        </w:pict>
      </w:r>
      <w:r>
        <w:pict>
          <v:roundrect id="_x0000_s2051" o:spid="_x0000_s2051" o:spt="2" style="position:absolute;left:0pt;margin-left:3.45pt;margin-top:21.75pt;height:26.5pt;width:89pt;z-index:251664384;mso-width-relative:page;mso-height-relative:page;" fillcolor="#9BBB59 [3206]" filled="t" stroked="t" coordsize="21600,21600" arcsize="0.166666666666667">
            <v:path/>
            <v:fill on="t" focussize="0,0"/>
            <v:stroke weight="3pt" color="#F2F2F2 [3041]"/>
            <v:imagedata o:title=""/>
            <o:lock v:ext="edit"/>
            <v:shadow on="t" type="perspective" color="#4E6128 [1606]" opacity="32768f" offset="1pt,2pt" offset2="-1pt,-2pt"/>
            <v:textbox>
              <w:txbxContent>
                <w:p>
                  <w:pPr>
                    <w:rPr>
                      <w:color w:val="FFFFFF" w:themeColor="background1"/>
                    </w:rPr>
                  </w:pPr>
                  <w:r>
                    <w:rPr>
                      <w:rFonts w:hint="eastAsia"/>
                      <w:color w:val="FFFFFF" w:themeColor="background1"/>
                    </w:rPr>
                    <w:t>EXCEL数据整理</w:t>
                  </w:r>
                </w:p>
              </w:txbxContent>
            </v:textbox>
          </v:roundrect>
        </w:pict>
      </w:r>
    </w:p>
    <w:p>
      <w:pPr>
        <w:spacing w:line="360" w:lineRule="auto"/>
      </w:pPr>
      <w:r>
        <w:pict>
          <v:shape id="_x0000_s2067" o:spid="_x0000_s2067" o:spt="13" type="#_x0000_t13" style="position:absolute;left:0pt;margin-left:206pt;margin-top:11.05pt;height:7.15pt;width:24.9pt;z-index:251675648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pict>
          <v:shape id="_x0000_s2066" o:spid="_x0000_s2066" o:spt="13" type="#_x0000_t13" style="position:absolute;left:0pt;margin-left:92.45pt;margin-top:11.05pt;height:7.15pt;width:24.9pt;z-index:25167462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</w:p>
    <w:p>
      <w:pPr>
        <w:spacing w:line="360" w:lineRule="auto"/>
      </w:pPr>
      <w:r>
        <w:pict>
          <v:shape id="_x0000_s2063" o:spid="_x0000_s2063" o:spt="32" type="#_x0000_t32" style="position:absolute;left:0pt;margin-left:271.05pt;margin-top:5.6pt;height:26.9pt;width:0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pict>
          <v:shape id="_x0000_s2068" o:spid="_x0000_s2068" o:spt="32" type="#_x0000_t32" style="position:absolute;left:0pt;margin-left:163.05pt;margin-top:5.6pt;height:26.9pt;width:0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</w:p>
    <w:p>
      <w:pPr>
        <w:spacing w:line="360" w:lineRule="auto"/>
      </w:pPr>
      <w:r>
        <w:pict>
          <v:roundrect id="_x0000_s2054" o:spid="_x0000_s2054" o:spt="2" style="position:absolute;left:0pt;margin-left:237.75pt;margin-top:9.1pt;height:26.5pt;width:63.85pt;z-index:251667456;mso-width-relative:page;mso-height-relative:page;" fillcolor="#4BACC6 [3208]" filled="t" stroked="t" coordsize="21600,21600" arcsize="0.166666666666667">
            <v:path/>
            <v:fill on="t" focussize="0,0"/>
            <v:stroke weight="3pt" color="#F2F2F2 [3041]"/>
            <v:imagedata o:title=""/>
            <o:lock v:ext="edit"/>
            <v:shadow on="t" type="perspective" color="#205867 [1608]" opacity="32768f" offset="1pt,2pt" offset2="-1pt,-2pt"/>
            <v:textbox>
              <w:txbxContent>
                <w:p>
                  <w:pPr>
                    <w:rPr>
                      <w:color w:val="FFFFFF" w:themeColor="background1"/>
                    </w:rPr>
                  </w:pPr>
                  <w:r>
                    <w:rPr>
                      <w:rFonts w:hint="eastAsia"/>
                      <w:color w:val="FFFFFF" w:themeColor="background1"/>
                    </w:rPr>
                    <w:t>数据检查</w:t>
                  </w:r>
                </w:p>
              </w:txbxContent>
            </v:textbox>
          </v:roundrect>
        </w:pict>
      </w:r>
      <w:r>
        <w:pict>
          <v:roundrect id="_x0000_s2060" o:spid="_x0000_s2060" o:spt="2" style="position:absolute;left:0pt;margin-left:128.2pt;margin-top:9.1pt;height:26.5pt;width:65.4pt;z-index:251671552;mso-width-relative:page;mso-height-relative:page;" fillcolor="#4BACC6 [3208]" filled="t" stroked="t" coordsize="21600,21600" arcsize="0.166666666666667">
            <v:path/>
            <v:fill on="t" focussize="0,0"/>
            <v:stroke weight="3pt" color="#F2F2F2 [3041]"/>
            <v:imagedata o:title=""/>
            <o:lock v:ext="edit"/>
            <v:shadow on="t" type="perspective" color="#205867 [1608]" opacity="32768f" offset="1pt,2pt" offset2="-1pt,-2pt"/>
            <v:textbox>
              <w:txbxContent>
                <w:p>
                  <w:pPr>
                    <w:rPr>
                      <w:color w:val="FFFFFF" w:themeColor="background1"/>
                    </w:rPr>
                  </w:pPr>
                  <w:r>
                    <w:rPr>
                      <w:rFonts w:hint="eastAsia"/>
                      <w:color w:val="FFFFFF" w:themeColor="background1"/>
                    </w:rPr>
                    <w:t>注意事项</w:t>
                  </w:r>
                </w:p>
              </w:txbxContent>
            </v:textbox>
          </v:roundrect>
        </w:pict>
      </w:r>
    </w:p>
    <w:p>
      <w:pPr>
        <w:spacing w:line="360" w:lineRule="auto"/>
      </w:pPr>
    </w:p>
    <w:p>
      <w:pPr>
        <w:pStyle w:val="1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根据通用转换工具包中提供的EXCEL模板填写整理好商品类别、</w:t>
      </w:r>
      <w:r>
        <w:rPr>
          <w:rFonts w:hint="eastAsia"/>
          <w:lang w:eastAsia="zh-CN"/>
        </w:rPr>
        <w:t>品牌、</w:t>
      </w:r>
      <w:r>
        <w:rPr>
          <w:rFonts w:hint="eastAsia"/>
        </w:rPr>
        <w:t>供应商信息、商品信息及会员信息</w:t>
      </w:r>
      <w:r>
        <w:rPr>
          <w:rFonts w:hint="eastAsia"/>
          <w:lang w:eastAsia="zh-CN"/>
        </w:rPr>
        <w:t>。服装以及孕婴童可整理花色尺码以及子码信息</w:t>
      </w:r>
      <w:r>
        <w:rPr>
          <w:rFonts w:hint="eastAsia"/>
        </w:rPr>
        <w:t>；</w:t>
      </w:r>
    </w:p>
    <w:p>
      <w:pPr>
        <w:pStyle w:val="17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通过通用转换工具导入EXCEL数据</w:t>
      </w:r>
      <w:r>
        <w:rPr>
          <w:rFonts w:hint="eastAsia"/>
          <w:lang w:val="en-US" w:eastAsia="zh-CN"/>
        </w:rPr>
        <w:t>,导入软件中</w:t>
      </w:r>
    </w:p>
    <w:p>
      <w:pPr>
        <w:pStyle w:val="3"/>
      </w:pPr>
      <w:r>
        <w:rPr>
          <w:rFonts w:hint="eastAsia"/>
        </w:rPr>
        <w:t>原理：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将整理好的</w:t>
      </w:r>
      <w:r>
        <w:rPr>
          <w:rFonts w:hint="eastAsia" w:asciiTheme="minorEastAsia" w:hAnsiTheme="minorEastAsia"/>
          <w:szCs w:val="21"/>
          <w:lang w:val="en-US" w:eastAsia="zh-CN"/>
        </w:rPr>
        <w:t>EXCEL</w:t>
      </w:r>
      <w:r>
        <w:rPr>
          <w:rFonts w:hint="eastAsia" w:asciiTheme="minorEastAsia" w:hAnsiTheme="minorEastAsia"/>
          <w:szCs w:val="21"/>
        </w:rPr>
        <w:t>数据</w:t>
      </w:r>
      <w:r>
        <w:rPr>
          <w:rFonts w:hint="eastAsia" w:asciiTheme="minorEastAsia" w:hAnsiTheme="minorEastAsia"/>
          <w:szCs w:val="21"/>
          <w:lang w:eastAsia="zh-CN"/>
        </w:rPr>
        <w:t>模版按照设定的格式</w:t>
      </w:r>
      <w:r>
        <w:rPr>
          <w:rFonts w:hint="eastAsia" w:asciiTheme="minorEastAsia" w:hAnsiTheme="minorEastAsia"/>
          <w:szCs w:val="21"/>
        </w:rPr>
        <w:t>导入到软件中。</w:t>
      </w:r>
    </w:p>
    <w:p>
      <w:pPr>
        <w:pStyle w:val="3"/>
        <w:spacing w:line="360" w:lineRule="auto"/>
      </w:pPr>
      <w:r>
        <w:rPr>
          <w:rFonts w:hint="eastAsia"/>
        </w:rPr>
        <w:t>EXCEL数据整理</w:t>
      </w:r>
    </w:p>
    <w:p>
      <w:pPr>
        <w:pStyle w:val="17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第一行必须填写列名，如图：</w:t>
      </w:r>
    </w:p>
    <w:p>
      <w:pPr>
        <w:spacing w:line="360" w:lineRule="auto"/>
        <w:ind w:left="720"/>
      </w:pPr>
      <w: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344420" cy="1276985"/>
            <wp:effectExtent l="19050" t="0" r="0" b="0"/>
            <wp:wrapSquare wrapText="bothSides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4588" cy="127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/>
        <w:br w:type="textWrapping" w:clear="all"/>
      </w:r>
    </w:p>
    <w:p>
      <w:pPr>
        <w:pStyle w:val="17"/>
        <w:numPr>
          <w:ilvl w:val="0"/>
          <w:numId w:val="3"/>
        </w:numPr>
        <w:spacing w:line="360" w:lineRule="auto"/>
        <w:ind w:firstLineChars="0"/>
        <w:rPr>
          <w:szCs w:val="21"/>
        </w:rPr>
      </w:pPr>
      <w:r>
        <w:rPr>
          <w:rFonts w:hint="eastAsia" w:asciiTheme="minorEastAsia" w:hAnsiTheme="minorEastAsia"/>
          <w:szCs w:val="21"/>
        </w:rPr>
        <w:t>按照指定的EXCEL格式整理数据，必须格式完全一致。如不需要导入该列字段，则将该列空出，如图：</w:t>
      </w:r>
    </w:p>
    <w:p>
      <w:pPr>
        <w:pStyle w:val="17"/>
        <w:spacing w:line="360" w:lineRule="auto"/>
        <w:ind w:left="360" w:firstLine="0" w:firstLineChars="0"/>
      </w:pPr>
      <w:r>
        <w:rPr>
          <w:rFonts w:hint="eastAsia"/>
        </w:rPr>
        <w:drawing>
          <wp:inline distT="0" distB="0" distL="0" distR="0">
            <wp:extent cx="4152900" cy="857250"/>
            <wp:effectExtent l="19050" t="0" r="0" b="0"/>
            <wp:docPr id="4" name="图片 2" descr="C:\Documents and Settings\liurw\桌面\test\convert\说明截图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C:\Documents and Settings\liurw\桌面\test\convert\说明截图\excel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360" w:firstLine="0" w:firstLineChars="0"/>
      </w:pPr>
    </w:p>
    <w:p>
      <w:pPr>
        <w:pStyle w:val="17"/>
        <w:spacing w:line="360" w:lineRule="auto"/>
        <w:ind w:left="360" w:firstLine="0" w:firstLineChars="0"/>
      </w:pPr>
      <w:r>
        <w:drawing>
          <wp:inline distT="0" distB="0" distL="0" distR="0">
            <wp:extent cx="6301105" cy="585470"/>
            <wp:effectExtent l="19050" t="0" r="4445" b="0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58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360" w:firstLine="0" w:firstLineChars="0"/>
      </w:pPr>
    </w:p>
    <w:p>
      <w:pPr>
        <w:pStyle w:val="17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 xml:space="preserve">调整价格的格式，价格中不允许带逗号； </w:t>
      </w:r>
    </w:p>
    <w:p>
      <w:pPr>
        <w:pStyle w:val="17"/>
        <w:numPr>
          <w:ilvl w:val="0"/>
          <w:numId w:val="3"/>
        </w:numPr>
        <w:spacing w:line="360" w:lineRule="auto"/>
        <w:ind w:firstLineChars="0"/>
      </w:pPr>
      <w:r>
        <w:rPr>
          <w:rFonts w:hint="eastAsia"/>
        </w:rPr>
        <w:t>条码需正常显示，不能显示为E+153之类的格式。</w:t>
      </w:r>
    </w:p>
    <w:p>
      <w:pPr>
        <w:pStyle w:val="3"/>
        <w:spacing w:line="360" w:lineRule="auto"/>
      </w:pPr>
      <w:r>
        <w:rPr>
          <w:rFonts w:hint="eastAsia"/>
        </w:rPr>
        <w:t>文件方式导入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在文件夹中双击打开通用转换工具程序；</w:t>
      </w:r>
    </w:p>
    <w:p>
      <w:pPr>
        <w:pStyle w:val="17"/>
        <w:spacing w:line="360" w:lineRule="auto"/>
        <w:ind w:left="780" w:firstLine="0" w:firstLineChars="0"/>
      </w:pPr>
      <w:r>
        <w:rPr>
          <w:rFonts w:hint="eastAsia"/>
        </w:rPr>
        <w:drawing>
          <wp:inline distT="0" distB="0" distL="0" distR="0">
            <wp:extent cx="1561465" cy="517525"/>
            <wp:effectExtent l="19050" t="0" r="63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61465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780" w:firstLine="0" w:firstLineChars="0"/>
      </w:pPr>
      <w:r>
        <w:drawing>
          <wp:inline distT="0" distB="0" distL="0" distR="0">
            <wp:extent cx="4718050" cy="3061970"/>
            <wp:effectExtent l="19050" t="0" r="5907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0585" cy="3063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780" w:firstLine="0" w:firstLineChars="0"/>
      </w:pPr>
      <w:r>
        <w:drawing>
          <wp:inline distT="0" distB="0" distL="0" distR="0">
            <wp:extent cx="5670550" cy="4295775"/>
            <wp:effectExtent l="19050" t="0" r="635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42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780" w:firstLine="0" w:firstLineChars="0"/>
      </w:pPr>
    </w:p>
    <w:p>
      <w:pPr>
        <w:pStyle w:val="5"/>
      </w:pPr>
      <w:r>
        <w:rPr>
          <w:rFonts w:hint="eastAsia"/>
        </w:rPr>
        <w:t>前期步骤：</w:t>
      </w:r>
    </w:p>
    <w:p>
      <w:pPr>
        <w:pStyle w:val="17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进行数据库连接参数设置：</w:t>
      </w:r>
    </w:p>
    <w:p>
      <w:pPr>
        <w:pStyle w:val="17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选择产品系列；</w:t>
      </w:r>
    </w:p>
    <w:p>
      <w:pPr>
        <w:pStyle w:val="17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填写电脑的IP地址；</w:t>
      </w:r>
    </w:p>
    <w:p>
      <w:pPr>
        <w:pStyle w:val="17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选择或填写软件数据库名称；</w:t>
      </w:r>
    </w:p>
    <w:p>
      <w:pPr>
        <w:pStyle w:val="17"/>
        <w:numPr>
          <w:ilvl w:val="0"/>
          <w:numId w:val="5"/>
        </w:numPr>
        <w:spacing w:line="360" w:lineRule="auto"/>
        <w:ind w:firstLineChars="0"/>
      </w:pPr>
      <w:r>
        <w:rPr>
          <w:rFonts w:hint="eastAsia"/>
        </w:rPr>
        <w:t>连接数据库。</w:t>
      </w:r>
    </w:p>
    <w:p>
      <w:pPr>
        <w:pStyle w:val="17"/>
        <w:spacing w:line="360" w:lineRule="auto"/>
        <w:ind w:left="1200" w:firstLine="0" w:firstLineChars="0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4246245</wp:posOffset>
            </wp:positionH>
            <wp:positionV relativeFrom="paragraph">
              <wp:posOffset>1378585</wp:posOffset>
            </wp:positionV>
            <wp:extent cx="2137410" cy="1155700"/>
            <wp:effectExtent l="19050" t="0" r="0" b="0"/>
            <wp:wrapSquare wrapText="bothSides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2913380" cy="2501265"/>
            <wp:effectExtent l="19050" t="0" r="719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4209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pStyle w:val="5"/>
      </w:pPr>
      <w:r>
        <w:rPr>
          <w:rFonts w:hint="eastAsia"/>
        </w:rPr>
        <w:t>导入导出设置：</w:t>
      </w:r>
    </w:p>
    <w:p>
      <w:pPr>
        <w:pStyle w:val="17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选择基础数据导入表名（如类别、供应商、商品资料等）；</w:t>
      </w:r>
    </w:p>
    <w:p>
      <w:pPr>
        <w:pStyle w:val="17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选择导入导出格式，默认为excel；</w:t>
      </w:r>
    </w:p>
    <w:p>
      <w:pPr>
        <w:pStyle w:val="17"/>
        <w:numPr>
          <w:ilvl w:val="0"/>
          <w:numId w:val="6"/>
        </w:numPr>
        <w:spacing w:line="360" w:lineRule="auto"/>
        <w:ind w:firstLineChars="0"/>
      </w:pPr>
      <w:r>
        <w:rPr>
          <w:rFonts w:hint="eastAsia"/>
        </w:rPr>
        <w:t>选择正确的导入导出路径。</w:t>
      </w:r>
    </w:p>
    <w:p>
      <w:pPr>
        <w:pStyle w:val="17"/>
        <w:spacing w:line="360" w:lineRule="auto"/>
        <w:ind w:left="1200" w:firstLine="0" w:firstLineChars="0"/>
      </w:pPr>
      <w:r>
        <w:drawing>
          <wp:inline distT="0" distB="0" distL="0" distR="0">
            <wp:extent cx="2182495" cy="2389505"/>
            <wp:effectExtent l="19050" t="0" r="8255" b="0"/>
            <wp:docPr id="1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23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1200" w:firstLine="0" w:firstLineChars="0"/>
      </w:pPr>
    </w:p>
    <w:p>
      <w:pPr>
        <w:pStyle w:val="17"/>
        <w:spacing w:line="360" w:lineRule="auto"/>
        <w:ind w:left="1200" w:firstLine="0" w:firstLineChars="0"/>
      </w:pPr>
    </w:p>
    <w:p>
      <w:pPr>
        <w:pStyle w:val="5"/>
      </w:pPr>
      <w:r>
        <w:rPr>
          <w:rFonts w:hint="eastAsia"/>
        </w:rPr>
        <w:t>导入步骤：</w:t>
      </w:r>
    </w:p>
    <w:p>
      <w:pPr>
        <w:pStyle w:val="17"/>
        <w:spacing w:line="360" w:lineRule="auto"/>
        <w:ind w:left="360" w:firstLine="0" w:firstLineChars="0"/>
        <w:rPr>
          <w:szCs w:val="21"/>
        </w:rPr>
      </w:pPr>
      <w:r>
        <w:rPr>
          <w:rFonts w:hint="eastAsia"/>
          <w:szCs w:val="21"/>
        </w:rPr>
        <w:t>1、导入供应商信息、商品信息、会员信息时，需要先在EXCEL表格中按工具中提供的字段顺序进行排序，且顺序一定要一一对应，如图：</w:t>
      </w:r>
    </w:p>
    <w:p>
      <w:pPr>
        <w:pStyle w:val="17"/>
        <w:spacing w:line="360" w:lineRule="auto"/>
        <w:ind w:left="780" w:firstLine="0" w:firstLineChars="0"/>
        <w:rPr>
          <w:szCs w:val="21"/>
        </w:rPr>
      </w:pPr>
    </w:p>
    <w:p>
      <w:pPr>
        <w:pStyle w:val="17"/>
        <w:spacing w:line="360" w:lineRule="auto"/>
        <w:ind w:left="780" w:firstLine="0" w:firstLineChars="0"/>
        <w:rPr>
          <w:szCs w:val="21"/>
        </w:rPr>
      </w:pPr>
      <w:r>
        <w:rPr>
          <w:szCs w:val="21"/>
        </w:rPr>
        <w:drawing>
          <wp:inline distT="0" distB="0" distL="0" distR="0">
            <wp:extent cx="5670550" cy="1471930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147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780" w:firstLine="0" w:firstLineChars="0"/>
        <w:rPr>
          <w:szCs w:val="21"/>
        </w:rPr>
      </w:pPr>
    </w:p>
    <w:p>
      <w:pPr>
        <w:pStyle w:val="17"/>
        <w:spacing w:line="360" w:lineRule="auto"/>
        <w:ind w:left="780" w:firstLine="0" w:firstLineChars="0"/>
        <w:rPr>
          <w:szCs w:val="21"/>
        </w:rPr>
      </w:pPr>
      <w:r>
        <w:rPr>
          <w:szCs w:val="21"/>
        </w:rPr>
        <w:drawing>
          <wp:inline distT="0" distB="0" distL="0" distR="0">
            <wp:extent cx="5670550" cy="697230"/>
            <wp:effectExtent l="19050" t="0" r="6350" b="0"/>
            <wp:docPr id="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697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735" w:hanging="735" w:hangingChars="350"/>
        <w:rPr>
          <w:color w:val="FF0000"/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/>
          <w:color w:val="FF0000"/>
          <w:szCs w:val="21"/>
        </w:rPr>
        <w:t>注：必须要先导入类别信息与供应商信息才能导商品信息，商品信息中的类别编码与供应商编码一定要填写。</w:t>
      </w:r>
    </w:p>
    <w:p>
      <w:pPr>
        <w:spacing w:line="360" w:lineRule="auto"/>
        <w:ind w:left="735" w:leftChars="200" w:hanging="315" w:hangingChars="150"/>
        <w:rPr>
          <w:szCs w:val="21"/>
        </w:rPr>
      </w:pPr>
      <w:r>
        <w:rPr>
          <w:rFonts w:hint="eastAsia"/>
          <w:szCs w:val="21"/>
        </w:rPr>
        <w:t>2、点击“导入”按钮，如果是商品资料信息，则会出现如下界面，提醒必须先导入类别与供应商信息方可导入商品信息；</w:t>
      </w:r>
    </w:p>
    <w:p>
      <w:pPr>
        <w:pStyle w:val="17"/>
        <w:spacing w:line="360" w:lineRule="auto"/>
        <w:ind w:left="780" w:firstLine="0" w:firstLineChars="0"/>
        <w:rPr>
          <w:szCs w:val="21"/>
        </w:rPr>
      </w:pPr>
      <w:r>
        <w:rPr>
          <w:szCs w:val="21"/>
        </w:rPr>
        <w:drawing>
          <wp:inline distT="0" distB="0" distL="0" distR="0">
            <wp:extent cx="4088765" cy="1155700"/>
            <wp:effectExtent l="19050" t="0" r="6985" b="0"/>
            <wp:docPr id="1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876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780" w:firstLine="0" w:firstLineChars="0"/>
        <w:rPr>
          <w:szCs w:val="21"/>
        </w:rPr>
      </w:pPr>
    </w:p>
    <w:p>
      <w:pPr>
        <w:pStyle w:val="17"/>
        <w:numPr>
          <w:ilvl w:val="0"/>
          <w:numId w:val="7"/>
        </w:numPr>
        <w:tabs>
          <w:tab w:val="left" w:pos="993"/>
        </w:tabs>
        <w:spacing w:line="360" w:lineRule="auto"/>
        <w:ind w:left="851" w:hanging="284" w:firstLineChars="0"/>
        <w:rPr>
          <w:szCs w:val="21"/>
        </w:rPr>
      </w:pPr>
      <w:r>
        <w:rPr>
          <w:rFonts w:hint="eastAsia"/>
          <w:szCs w:val="21"/>
        </w:rPr>
        <w:t>点击“是”，提示是进行覆盖导入还是增量导入；</w:t>
      </w:r>
    </w:p>
    <w:p>
      <w:pPr>
        <w:pStyle w:val="17"/>
        <w:spacing w:line="360" w:lineRule="auto"/>
        <w:ind w:left="780" w:firstLine="0" w:firstLineChars="0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4123690" cy="206184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3690" cy="206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spacing w:line="360" w:lineRule="auto"/>
        <w:ind w:left="780" w:firstLine="0" w:firstLineChars="0"/>
        <w:rPr>
          <w:szCs w:val="21"/>
        </w:rPr>
      </w:pPr>
    </w:p>
    <w:p>
      <w:pPr>
        <w:pStyle w:val="17"/>
        <w:numPr>
          <w:ilvl w:val="0"/>
          <w:numId w:val="8"/>
        </w:numPr>
        <w:spacing w:line="360" w:lineRule="auto"/>
        <w:ind w:firstLineChars="0"/>
        <w:rPr>
          <w:color w:val="3333FF"/>
          <w:szCs w:val="21"/>
        </w:rPr>
      </w:pPr>
      <w:r>
        <w:rPr>
          <w:rFonts w:hint="eastAsia"/>
          <w:color w:val="3333FF"/>
          <w:szCs w:val="21"/>
        </w:rPr>
        <w:t>覆盖导入：会将数据库中的数据都删除；</w:t>
      </w:r>
    </w:p>
    <w:p>
      <w:pPr>
        <w:pStyle w:val="17"/>
        <w:numPr>
          <w:ilvl w:val="0"/>
          <w:numId w:val="8"/>
        </w:numPr>
        <w:spacing w:line="360" w:lineRule="auto"/>
        <w:ind w:firstLineChars="0"/>
        <w:rPr>
          <w:color w:val="3333FF"/>
          <w:szCs w:val="21"/>
        </w:rPr>
      </w:pPr>
      <w:r>
        <w:rPr>
          <w:rFonts w:hint="eastAsia"/>
          <w:color w:val="3333FF"/>
          <w:szCs w:val="21"/>
        </w:rPr>
        <w:t>增量导入：将现有的数据追加到之前导好的TXT文档中，可实现多次导入。</w:t>
      </w:r>
    </w:p>
    <w:p>
      <w:pPr>
        <w:pStyle w:val="17"/>
        <w:spacing w:line="360" w:lineRule="auto"/>
        <w:ind w:left="1260" w:firstLine="0" w:firstLineChars="0"/>
        <w:rPr>
          <w:color w:val="3333FF"/>
          <w:szCs w:val="21"/>
        </w:rPr>
      </w:pPr>
      <w:r>
        <w:rPr>
          <w:rFonts w:hint="eastAsia"/>
          <w:color w:val="3333FF"/>
          <w:szCs w:val="21"/>
        </w:rPr>
        <w:t>如第一次导入了1000条数据，后面又整理了五百条，进行增量导入时，导出的TXT文档中则是1500条数据。</w:t>
      </w:r>
    </w:p>
    <w:p>
      <w:pPr>
        <w:pStyle w:val="17"/>
        <w:numPr>
          <w:ilvl w:val="0"/>
          <w:numId w:val="7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选择导入方式后，输入特殊操作密码（当天8位日期）导入即可，导入成功后会提示导好的TXT文档存放在newbasedata文件夹中；</w:t>
      </w:r>
    </w:p>
    <w:p>
      <w:pPr>
        <w:pStyle w:val="17"/>
        <w:spacing w:line="360" w:lineRule="auto"/>
        <w:ind w:left="1140" w:firstLine="0" w:firstLineChars="0"/>
        <w:jc w:val="left"/>
        <w:rPr>
          <w:szCs w:val="21"/>
        </w:rPr>
      </w:pPr>
      <w:r>
        <w:rPr>
          <w:szCs w:val="21"/>
        </w:rPr>
        <w:drawing>
          <wp:inline distT="0" distB="0" distL="0" distR="0">
            <wp:extent cx="5613400" cy="896620"/>
            <wp:effectExtent l="19050" t="0" r="5751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7709" cy="90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7"/>
        <w:numPr>
          <w:ilvl w:val="0"/>
          <w:numId w:val="7"/>
        </w:numPr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导入完毕后，无法导入的数据会在异常数据中显示，并显示出原因，如重复，空值等等，可将异常数据导出后进行处理，重新整理后可进行增量导入或者手工添加进去。</w:t>
      </w:r>
    </w:p>
    <w:p>
      <w:pPr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597535</wp:posOffset>
            </wp:positionH>
            <wp:positionV relativeFrom="paragraph">
              <wp:posOffset>137160</wp:posOffset>
            </wp:positionV>
            <wp:extent cx="5276215" cy="1457325"/>
            <wp:effectExtent l="19050" t="0" r="635" b="0"/>
            <wp:wrapSquare wrapText="bothSides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21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color w:val="FF0000"/>
          <w:szCs w:val="21"/>
        </w:rPr>
        <w:br w:type="textWrapping" w:clear="all"/>
      </w:r>
      <w:r>
        <w:rPr>
          <w:rFonts w:hint="eastAsia"/>
          <w:color w:val="FF0000"/>
          <w:szCs w:val="21"/>
        </w:rPr>
        <w:t xml:space="preserve">       </w:t>
      </w:r>
      <w:r>
        <w:rPr>
          <w:rFonts w:hint="eastAsia" w:asciiTheme="minorEastAsia" w:hAnsiTheme="minorEastAsia"/>
          <w:color w:val="FF0000"/>
          <w:szCs w:val="21"/>
        </w:rPr>
        <w:t>注意：异常数据修改完毕后，需要把EXCEL中的原因列删除。</w:t>
      </w:r>
    </w:p>
    <w:p>
      <w:pPr>
        <w:pStyle w:val="3"/>
      </w:pPr>
      <w:r>
        <w:rPr>
          <w:rFonts w:hint="eastAsia"/>
        </w:rPr>
        <w:t>导入软件后检查事项：</w:t>
      </w:r>
    </w:p>
    <w:p>
      <w:pPr>
        <w:pStyle w:val="17"/>
        <w:numPr>
          <w:ilvl w:val="0"/>
          <w:numId w:val="9"/>
        </w:numPr>
        <w:spacing w:line="360" w:lineRule="auto"/>
        <w:ind w:firstLineChars="0"/>
        <w:jc w:val="left"/>
        <w:rPr>
          <w:szCs w:val="21"/>
        </w:rPr>
      </w:pPr>
      <w:r>
        <w:rPr>
          <w:rFonts w:hint="eastAsia"/>
          <w:szCs w:val="21"/>
        </w:rPr>
        <w:t xml:space="preserve">商品档案的检查； </w:t>
      </w:r>
    </w:p>
    <w:p>
      <w:pPr>
        <w:numPr>
          <w:ilvl w:val="0"/>
          <w:numId w:val="10"/>
        </w:numPr>
        <w:tabs>
          <w:tab w:val="left" w:pos="720"/>
        </w:tabs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检查是否有商品简称，如没有可到助记码更新中更新一下商品助记码，更新完毕后简称同步有了，有些软件在助记码更新中有单独的更新商品简称功能； </w:t>
      </w:r>
    </w:p>
    <w:p>
      <w:pPr>
        <w:numPr>
          <w:ilvl w:val="0"/>
          <w:numId w:val="10"/>
        </w:numPr>
        <w:tabs>
          <w:tab w:val="left" w:pos="720"/>
        </w:tabs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检查商品的积分、前台打折、前台折扣、分店变价是否正确； </w:t>
      </w:r>
    </w:p>
    <w:p>
      <w:pPr>
        <w:numPr>
          <w:ilvl w:val="0"/>
          <w:numId w:val="10"/>
        </w:numPr>
        <w:tabs>
          <w:tab w:val="left" w:pos="720"/>
        </w:tabs>
        <w:spacing w:line="360" w:lineRule="auto"/>
        <w:jc w:val="left"/>
        <w:rPr>
          <w:rFonts w:hint="eastAsia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>检查散装称重商品的计价方式是否正确。</w:t>
      </w:r>
    </w:p>
    <w:p>
      <w:pPr>
        <w:numPr>
          <w:ilvl w:val="0"/>
          <w:numId w:val="11"/>
        </w:numPr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会员档案检查；</w:t>
      </w:r>
    </w:p>
    <w:p>
      <w:pPr>
        <w:numPr>
          <w:ilvl w:val="0"/>
          <w:numId w:val="0"/>
        </w:numPr>
        <w:tabs>
          <w:tab w:val="clear" w:pos="720"/>
        </w:tabs>
        <w:spacing w:line="360" w:lineRule="auto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   烘培、专卖、孕婴童</w:t>
      </w:r>
      <w:bookmarkStart w:id="0" w:name="_GoBack"/>
      <w:bookmarkEnd w:id="0"/>
      <w:r>
        <w:rPr>
          <w:rFonts w:hint="eastAsia"/>
          <w:szCs w:val="21"/>
          <w:lang w:val="en-US" w:eastAsia="zh-CN"/>
        </w:rPr>
        <w:t>会员积分与剩余余额如果为负数的话默认导入为0，可在导入后在产品会员档案中处理。</w:t>
      </w:r>
    </w:p>
    <w:sectPr>
      <w:pgSz w:w="11906" w:h="16838"/>
      <w:pgMar w:top="568" w:right="707" w:bottom="142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544561240">
    <w:nsid w:val="20755858"/>
    <w:multiLevelType w:val="multilevel"/>
    <w:tmpl w:val="20755858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3102392">
    <w:nsid w:val="219042B8"/>
    <w:multiLevelType w:val="multilevel"/>
    <w:tmpl w:val="219042B8"/>
    <w:lvl w:ilvl="0" w:tentative="1">
      <w:start w:val="1"/>
      <w:numFmt w:val="decimalEnclosedCircle"/>
      <w:lvlText w:val="%1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EnclosedCircle"/>
      <w:lvlText w:val="%2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EnclosedCircle"/>
      <w:lvlText w:val="%3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EnclosedCircle"/>
      <w:lvlText w:val="%4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EnclosedCircle"/>
      <w:lvlText w:val="%5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EnclosedCircle"/>
      <w:lvlText w:val="%6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EnclosedCircle"/>
      <w:lvlText w:val="%7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EnclosedCircle"/>
      <w:lvlText w:val="%8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EnclosedCircle"/>
      <w:lvlText w:val="%9"/>
      <w:lvlJc w:val="left"/>
      <w:pPr>
        <w:tabs>
          <w:tab w:val="left" w:pos="6480"/>
        </w:tabs>
        <w:ind w:left="6480" w:hanging="360"/>
      </w:pPr>
    </w:lvl>
  </w:abstractNum>
  <w:abstractNum w:abstractNumId="1449713598">
    <w:nsid w:val="5668DFBE"/>
    <w:multiLevelType w:val="singleLevel"/>
    <w:tmpl w:val="5668DFBE"/>
    <w:lvl w:ilvl="0" w:tentative="1">
      <w:start w:val="2"/>
      <w:numFmt w:val="decimal"/>
      <w:suff w:val="nothing"/>
      <w:lvlText w:val="%1、"/>
      <w:lvlJc w:val="left"/>
    </w:lvl>
  </w:abstractNum>
  <w:abstractNum w:abstractNumId="1504201001">
    <w:nsid w:val="59A84929"/>
    <w:multiLevelType w:val="multilevel"/>
    <w:tmpl w:val="59A84929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61853543">
    <w:nsid w:val="45407A67"/>
    <w:multiLevelType w:val="multilevel"/>
    <w:tmpl w:val="45407A67"/>
    <w:lvl w:ilvl="0" w:tentative="1">
      <w:start w:val="0"/>
      <w:numFmt w:val="bullet"/>
      <w:lvlText w:val="—"/>
      <w:lvlJc w:val="left"/>
      <w:pPr>
        <w:ind w:left="1050" w:hanging="1050"/>
      </w:pPr>
      <w:rPr>
        <w:rFonts w:hint="eastAsia" w:ascii="宋体" w:hAnsi="宋体" w:eastAsia="宋体" w:cs="Times New Roman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71438581">
    <w:nsid w:val="2DFB37F5"/>
    <w:multiLevelType w:val="multilevel"/>
    <w:tmpl w:val="2DFB37F5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4626725">
    <w:nsid w:val="266C3925"/>
    <w:multiLevelType w:val="multilevel"/>
    <w:tmpl w:val="266C3925"/>
    <w:lvl w:ilvl="0" w:tentative="1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42261417">
    <w:nsid w:val="7FB050A9"/>
    <w:multiLevelType w:val="multilevel"/>
    <w:tmpl w:val="7FB050A9"/>
    <w:lvl w:ilvl="0" w:tentative="1">
      <w:start w:val="1"/>
      <w:numFmt w:val="bullet"/>
      <w:lvlText w:val=""/>
      <w:lvlJc w:val="left"/>
      <w:pPr>
        <w:ind w:left="120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162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204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246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88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330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72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414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560" w:hanging="420"/>
      </w:pPr>
      <w:rPr>
        <w:rFonts w:hint="default" w:ascii="Wingdings" w:hAnsi="Wingdings"/>
      </w:rPr>
    </w:lvl>
  </w:abstractNum>
  <w:abstractNum w:abstractNumId="1541934988">
    <w:nsid w:val="5BE80F8C"/>
    <w:multiLevelType w:val="multilevel"/>
    <w:tmpl w:val="5BE80F8C"/>
    <w:lvl w:ilvl="0" w:tentative="1">
      <w:start w:val="1"/>
      <w:numFmt w:val="bullet"/>
      <w:lvlText w:val=""/>
      <w:lvlJc w:val="left"/>
      <w:pPr>
        <w:ind w:left="120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162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204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246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88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330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72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414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560" w:hanging="420"/>
      </w:pPr>
      <w:rPr>
        <w:rFonts w:hint="default" w:ascii="Wingdings" w:hAnsi="Wingdings"/>
      </w:rPr>
    </w:lvl>
  </w:abstractNum>
  <w:abstractNum w:abstractNumId="335233139">
    <w:nsid w:val="13FB4073"/>
    <w:multiLevelType w:val="multilevel"/>
    <w:tmpl w:val="13FB4073"/>
    <w:lvl w:ilvl="0" w:tentative="1">
      <w:start w:val="3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20" w:hanging="420"/>
      </w:pPr>
    </w:lvl>
    <w:lvl w:ilvl="2" w:tentative="1">
      <w:start w:val="1"/>
      <w:numFmt w:val="lowerRoman"/>
      <w:lvlText w:val="%3."/>
      <w:lvlJc w:val="right"/>
      <w:pPr>
        <w:ind w:left="2040" w:hanging="420"/>
      </w:pPr>
    </w:lvl>
    <w:lvl w:ilvl="3" w:tentative="1">
      <w:start w:val="1"/>
      <w:numFmt w:val="decimal"/>
      <w:lvlText w:val="%4."/>
      <w:lvlJc w:val="left"/>
      <w:pPr>
        <w:ind w:left="2460" w:hanging="420"/>
      </w:pPr>
    </w:lvl>
    <w:lvl w:ilvl="4" w:tentative="1">
      <w:start w:val="1"/>
      <w:numFmt w:val="lowerLetter"/>
      <w:lvlText w:val="%5)"/>
      <w:lvlJc w:val="left"/>
      <w:pPr>
        <w:ind w:left="2880" w:hanging="420"/>
      </w:pPr>
    </w:lvl>
    <w:lvl w:ilvl="5" w:tentative="1">
      <w:start w:val="1"/>
      <w:numFmt w:val="lowerRoman"/>
      <w:lvlText w:val="%6."/>
      <w:lvlJc w:val="right"/>
      <w:pPr>
        <w:ind w:left="3300" w:hanging="420"/>
      </w:pPr>
    </w:lvl>
    <w:lvl w:ilvl="6" w:tentative="1">
      <w:start w:val="1"/>
      <w:numFmt w:val="decimal"/>
      <w:lvlText w:val="%7."/>
      <w:lvlJc w:val="left"/>
      <w:pPr>
        <w:ind w:left="3720" w:hanging="420"/>
      </w:pPr>
    </w:lvl>
    <w:lvl w:ilvl="7" w:tentative="1">
      <w:start w:val="1"/>
      <w:numFmt w:val="lowerLetter"/>
      <w:lvlText w:val="%8)"/>
      <w:lvlJc w:val="left"/>
      <w:pPr>
        <w:ind w:left="4140" w:hanging="420"/>
      </w:pPr>
    </w:lvl>
    <w:lvl w:ilvl="8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387290445">
    <w:nsid w:val="52B05F4D"/>
    <w:multiLevelType w:val="multilevel"/>
    <w:tmpl w:val="52B05F4D"/>
    <w:lvl w:ilvl="0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1" w:tentative="1">
      <w:start w:val="1"/>
      <w:numFmt w:val="bullet"/>
      <w:lvlText w:val=""/>
      <w:lvlJc w:val="left"/>
      <w:pPr>
        <w:ind w:left="1680" w:hanging="420"/>
      </w:pPr>
      <w:rPr>
        <w:rFonts w:hint="default" w:ascii="Wingdings" w:hAnsi="Wingdings"/>
      </w:rPr>
    </w:lvl>
    <w:lvl w:ilvl="2" w:tentative="1">
      <w:start w:val="1"/>
      <w:numFmt w:val="bullet"/>
      <w:lvlText w:val=""/>
      <w:lvlJc w:val="left"/>
      <w:pPr>
        <w:ind w:left="2100" w:hanging="420"/>
      </w:pPr>
      <w:rPr>
        <w:rFonts w:hint="default" w:ascii="Wingdings" w:hAnsi="Wingdings"/>
      </w:rPr>
    </w:lvl>
    <w:lvl w:ilvl="3" w:tentative="1">
      <w:start w:val="1"/>
      <w:numFmt w:val="bullet"/>
      <w:lvlText w:val=""/>
      <w:lvlJc w:val="left"/>
      <w:pPr>
        <w:ind w:left="2520" w:hanging="420"/>
      </w:pPr>
      <w:rPr>
        <w:rFonts w:hint="default" w:ascii="Wingdings" w:hAnsi="Wingdings"/>
      </w:rPr>
    </w:lvl>
    <w:lvl w:ilvl="4" w:tentative="1">
      <w:start w:val="1"/>
      <w:numFmt w:val="bullet"/>
      <w:lvlText w:val=""/>
      <w:lvlJc w:val="left"/>
      <w:pPr>
        <w:ind w:left="2940" w:hanging="420"/>
      </w:pPr>
      <w:rPr>
        <w:rFonts w:hint="default" w:ascii="Wingdings" w:hAnsi="Wingdings"/>
      </w:rPr>
    </w:lvl>
    <w:lvl w:ilvl="5" w:tentative="1">
      <w:start w:val="1"/>
      <w:numFmt w:val="bullet"/>
      <w:lvlText w:val=""/>
      <w:lvlJc w:val="left"/>
      <w:pPr>
        <w:ind w:left="3360" w:hanging="420"/>
      </w:pPr>
      <w:rPr>
        <w:rFonts w:hint="default" w:ascii="Wingdings" w:hAnsi="Wingdings"/>
      </w:rPr>
    </w:lvl>
    <w:lvl w:ilvl="6" w:tentative="1">
      <w:start w:val="1"/>
      <w:numFmt w:val="bullet"/>
      <w:lvlText w:val=""/>
      <w:lvlJc w:val="left"/>
      <w:pPr>
        <w:ind w:left="3780" w:hanging="420"/>
      </w:pPr>
      <w:rPr>
        <w:rFonts w:hint="default" w:ascii="Wingdings" w:hAnsi="Wingdings"/>
      </w:rPr>
    </w:lvl>
    <w:lvl w:ilvl="7" w:tentative="1">
      <w:start w:val="1"/>
      <w:numFmt w:val="bullet"/>
      <w:lvlText w:val=""/>
      <w:lvlJc w:val="left"/>
      <w:pPr>
        <w:ind w:left="4200" w:hanging="420"/>
      </w:pPr>
      <w:rPr>
        <w:rFonts w:hint="default" w:ascii="Wingdings" w:hAnsi="Wingdings"/>
      </w:rPr>
    </w:lvl>
    <w:lvl w:ilvl="8" w:tentative="1">
      <w:start w:val="1"/>
      <w:numFmt w:val="bullet"/>
      <w:lvlText w:val=""/>
      <w:lvlJc w:val="left"/>
      <w:pPr>
        <w:ind w:left="4620" w:hanging="420"/>
      </w:pPr>
      <w:rPr>
        <w:rFonts w:hint="default" w:ascii="Wingdings" w:hAnsi="Wingdings"/>
      </w:rPr>
    </w:lvl>
  </w:abstractNum>
  <w:num w:numId="1">
    <w:abstractNumId w:val="1161853543"/>
  </w:num>
  <w:num w:numId="2">
    <w:abstractNumId w:val="771438581"/>
  </w:num>
  <w:num w:numId="3">
    <w:abstractNumId w:val="1504201001"/>
  </w:num>
  <w:num w:numId="4">
    <w:abstractNumId w:val="644626725"/>
  </w:num>
  <w:num w:numId="5">
    <w:abstractNumId w:val="2142261417"/>
  </w:num>
  <w:num w:numId="6">
    <w:abstractNumId w:val="1541934988"/>
  </w:num>
  <w:num w:numId="7">
    <w:abstractNumId w:val="335233139"/>
  </w:num>
  <w:num w:numId="8">
    <w:abstractNumId w:val="1387290445"/>
  </w:num>
  <w:num w:numId="9">
    <w:abstractNumId w:val="544561240"/>
  </w:num>
  <w:num w:numId="10">
    <w:abstractNumId w:val="563102392"/>
  </w:num>
  <w:num w:numId="11">
    <w:abstractNumId w:val="14497135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7C0E"/>
    <w:rsid w:val="00002963"/>
    <w:rsid w:val="00040F76"/>
    <w:rsid w:val="000428D5"/>
    <w:rsid w:val="00052C5B"/>
    <w:rsid w:val="000816E2"/>
    <w:rsid w:val="00083636"/>
    <w:rsid w:val="00095FBE"/>
    <w:rsid w:val="000A29F3"/>
    <w:rsid w:val="000B3B70"/>
    <w:rsid w:val="000B60CB"/>
    <w:rsid w:val="000C7AB0"/>
    <w:rsid w:val="000D2E8A"/>
    <w:rsid w:val="000D4BC3"/>
    <w:rsid w:val="000F0215"/>
    <w:rsid w:val="000F5D9D"/>
    <w:rsid w:val="001006D6"/>
    <w:rsid w:val="001113A4"/>
    <w:rsid w:val="00142CF9"/>
    <w:rsid w:val="001464AE"/>
    <w:rsid w:val="00155E96"/>
    <w:rsid w:val="00177936"/>
    <w:rsid w:val="00177C8D"/>
    <w:rsid w:val="00182097"/>
    <w:rsid w:val="0018238C"/>
    <w:rsid w:val="00184DE8"/>
    <w:rsid w:val="00185ABA"/>
    <w:rsid w:val="001975D9"/>
    <w:rsid w:val="001978A4"/>
    <w:rsid w:val="001A0359"/>
    <w:rsid w:val="001B06B8"/>
    <w:rsid w:val="001C355C"/>
    <w:rsid w:val="001C79DD"/>
    <w:rsid w:val="001C7BF5"/>
    <w:rsid w:val="001D00A6"/>
    <w:rsid w:val="001F258E"/>
    <w:rsid w:val="002224C9"/>
    <w:rsid w:val="0022783C"/>
    <w:rsid w:val="002411B2"/>
    <w:rsid w:val="00252252"/>
    <w:rsid w:val="0025432B"/>
    <w:rsid w:val="002579A9"/>
    <w:rsid w:val="00271FCB"/>
    <w:rsid w:val="00276F96"/>
    <w:rsid w:val="002A3394"/>
    <w:rsid w:val="002C68BA"/>
    <w:rsid w:val="002C7DA1"/>
    <w:rsid w:val="002E50F5"/>
    <w:rsid w:val="00345D2A"/>
    <w:rsid w:val="0036597B"/>
    <w:rsid w:val="0036666B"/>
    <w:rsid w:val="00370BBE"/>
    <w:rsid w:val="00372E93"/>
    <w:rsid w:val="00373FAB"/>
    <w:rsid w:val="00374AC7"/>
    <w:rsid w:val="003808BB"/>
    <w:rsid w:val="00382ADC"/>
    <w:rsid w:val="003C4E7A"/>
    <w:rsid w:val="003D02F3"/>
    <w:rsid w:val="003D286B"/>
    <w:rsid w:val="003D6EA3"/>
    <w:rsid w:val="003D71CC"/>
    <w:rsid w:val="004005A1"/>
    <w:rsid w:val="00405ADD"/>
    <w:rsid w:val="00410699"/>
    <w:rsid w:val="004228F9"/>
    <w:rsid w:val="00434999"/>
    <w:rsid w:val="00451A3C"/>
    <w:rsid w:val="004566F7"/>
    <w:rsid w:val="00467CCE"/>
    <w:rsid w:val="00471A33"/>
    <w:rsid w:val="004A0689"/>
    <w:rsid w:val="004A792A"/>
    <w:rsid w:val="004C4D76"/>
    <w:rsid w:val="004D378F"/>
    <w:rsid w:val="004D5098"/>
    <w:rsid w:val="004E00FE"/>
    <w:rsid w:val="005129B1"/>
    <w:rsid w:val="005412A1"/>
    <w:rsid w:val="00546213"/>
    <w:rsid w:val="005513A2"/>
    <w:rsid w:val="00552F2B"/>
    <w:rsid w:val="00562539"/>
    <w:rsid w:val="00570778"/>
    <w:rsid w:val="005916CC"/>
    <w:rsid w:val="005A0CA7"/>
    <w:rsid w:val="005A2CCE"/>
    <w:rsid w:val="005B4755"/>
    <w:rsid w:val="005B5CA3"/>
    <w:rsid w:val="005C7F07"/>
    <w:rsid w:val="005F4C6B"/>
    <w:rsid w:val="00603243"/>
    <w:rsid w:val="00607C2E"/>
    <w:rsid w:val="0061179D"/>
    <w:rsid w:val="00622CC5"/>
    <w:rsid w:val="00641FFF"/>
    <w:rsid w:val="00642B2E"/>
    <w:rsid w:val="0064426C"/>
    <w:rsid w:val="00657257"/>
    <w:rsid w:val="00660302"/>
    <w:rsid w:val="00672E3B"/>
    <w:rsid w:val="0068644E"/>
    <w:rsid w:val="0069054F"/>
    <w:rsid w:val="006E3024"/>
    <w:rsid w:val="006E751D"/>
    <w:rsid w:val="006F2F1B"/>
    <w:rsid w:val="006F3951"/>
    <w:rsid w:val="00712C32"/>
    <w:rsid w:val="00721045"/>
    <w:rsid w:val="0075682C"/>
    <w:rsid w:val="00765C33"/>
    <w:rsid w:val="00774CDD"/>
    <w:rsid w:val="007B6AB9"/>
    <w:rsid w:val="007B7BB4"/>
    <w:rsid w:val="007C5DD4"/>
    <w:rsid w:val="007D7984"/>
    <w:rsid w:val="007F0C80"/>
    <w:rsid w:val="008025F1"/>
    <w:rsid w:val="008029FC"/>
    <w:rsid w:val="00805285"/>
    <w:rsid w:val="00814695"/>
    <w:rsid w:val="00854234"/>
    <w:rsid w:val="00863797"/>
    <w:rsid w:val="00882C5C"/>
    <w:rsid w:val="008A2354"/>
    <w:rsid w:val="008A5BC1"/>
    <w:rsid w:val="008B71A5"/>
    <w:rsid w:val="008C35F6"/>
    <w:rsid w:val="008C684D"/>
    <w:rsid w:val="008F32A9"/>
    <w:rsid w:val="008F7E50"/>
    <w:rsid w:val="00913DCA"/>
    <w:rsid w:val="00915959"/>
    <w:rsid w:val="00921D8A"/>
    <w:rsid w:val="0092498D"/>
    <w:rsid w:val="00924A06"/>
    <w:rsid w:val="00931D4D"/>
    <w:rsid w:val="00960346"/>
    <w:rsid w:val="00962AFB"/>
    <w:rsid w:val="009728B3"/>
    <w:rsid w:val="0098068D"/>
    <w:rsid w:val="00986326"/>
    <w:rsid w:val="0098766C"/>
    <w:rsid w:val="009B1513"/>
    <w:rsid w:val="009D01C6"/>
    <w:rsid w:val="009F107C"/>
    <w:rsid w:val="00A01ADD"/>
    <w:rsid w:val="00A02F62"/>
    <w:rsid w:val="00A050EF"/>
    <w:rsid w:val="00A160F5"/>
    <w:rsid w:val="00A24EF2"/>
    <w:rsid w:val="00A262D1"/>
    <w:rsid w:val="00A35E08"/>
    <w:rsid w:val="00A7782A"/>
    <w:rsid w:val="00A82700"/>
    <w:rsid w:val="00A829DF"/>
    <w:rsid w:val="00A83EF7"/>
    <w:rsid w:val="00AA321B"/>
    <w:rsid w:val="00AA5498"/>
    <w:rsid w:val="00AC26D4"/>
    <w:rsid w:val="00AC5A4E"/>
    <w:rsid w:val="00AD2C77"/>
    <w:rsid w:val="00AD777B"/>
    <w:rsid w:val="00AE1AD6"/>
    <w:rsid w:val="00AF5EA2"/>
    <w:rsid w:val="00B02835"/>
    <w:rsid w:val="00B05C2D"/>
    <w:rsid w:val="00B11FC2"/>
    <w:rsid w:val="00B31EBF"/>
    <w:rsid w:val="00B53B5A"/>
    <w:rsid w:val="00B578C6"/>
    <w:rsid w:val="00B67544"/>
    <w:rsid w:val="00B727F8"/>
    <w:rsid w:val="00B92FC8"/>
    <w:rsid w:val="00B946AF"/>
    <w:rsid w:val="00B9731B"/>
    <w:rsid w:val="00BA6D79"/>
    <w:rsid w:val="00BA6DD9"/>
    <w:rsid w:val="00BB4E64"/>
    <w:rsid w:val="00BE0E14"/>
    <w:rsid w:val="00C00FF4"/>
    <w:rsid w:val="00C05EE0"/>
    <w:rsid w:val="00C142FF"/>
    <w:rsid w:val="00C22958"/>
    <w:rsid w:val="00C27E8F"/>
    <w:rsid w:val="00C3720D"/>
    <w:rsid w:val="00C378C2"/>
    <w:rsid w:val="00C44E09"/>
    <w:rsid w:val="00C65C8A"/>
    <w:rsid w:val="00C73CAB"/>
    <w:rsid w:val="00C7706C"/>
    <w:rsid w:val="00CB07E2"/>
    <w:rsid w:val="00CB6910"/>
    <w:rsid w:val="00CD36D2"/>
    <w:rsid w:val="00CD6FA2"/>
    <w:rsid w:val="00CE0E56"/>
    <w:rsid w:val="00CF50A5"/>
    <w:rsid w:val="00D07C0E"/>
    <w:rsid w:val="00D12562"/>
    <w:rsid w:val="00D159BB"/>
    <w:rsid w:val="00D31A7D"/>
    <w:rsid w:val="00D60ED5"/>
    <w:rsid w:val="00D73742"/>
    <w:rsid w:val="00D85437"/>
    <w:rsid w:val="00D85834"/>
    <w:rsid w:val="00D943C8"/>
    <w:rsid w:val="00DA27EF"/>
    <w:rsid w:val="00DB6BE9"/>
    <w:rsid w:val="00DC15C9"/>
    <w:rsid w:val="00DD2CD4"/>
    <w:rsid w:val="00DE33BD"/>
    <w:rsid w:val="00DF5139"/>
    <w:rsid w:val="00E02269"/>
    <w:rsid w:val="00E03E6D"/>
    <w:rsid w:val="00E12B48"/>
    <w:rsid w:val="00E20D87"/>
    <w:rsid w:val="00E34881"/>
    <w:rsid w:val="00E361B7"/>
    <w:rsid w:val="00E4202F"/>
    <w:rsid w:val="00E703D2"/>
    <w:rsid w:val="00E74435"/>
    <w:rsid w:val="00E761CA"/>
    <w:rsid w:val="00E91924"/>
    <w:rsid w:val="00E91C39"/>
    <w:rsid w:val="00EA1F59"/>
    <w:rsid w:val="00EA2D2E"/>
    <w:rsid w:val="00EB3CF6"/>
    <w:rsid w:val="00EB59AB"/>
    <w:rsid w:val="00ED6B57"/>
    <w:rsid w:val="00EE63AC"/>
    <w:rsid w:val="00F0001C"/>
    <w:rsid w:val="00F02CE5"/>
    <w:rsid w:val="00F43D9F"/>
    <w:rsid w:val="00F45AB6"/>
    <w:rsid w:val="00F53E57"/>
    <w:rsid w:val="00F54DC8"/>
    <w:rsid w:val="00F570D9"/>
    <w:rsid w:val="00F6399A"/>
    <w:rsid w:val="00F85430"/>
    <w:rsid w:val="00F900CD"/>
    <w:rsid w:val="00FB13C1"/>
    <w:rsid w:val="00FB1A80"/>
    <w:rsid w:val="00FB4BC5"/>
    <w:rsid w:val="00FB5DA3"/>
    <w:rsid w:val="00FB677E"/>
    <w:rsid w:val="00FF21A9"/>
    <w:rsid w:val="00FF455E"/>
    <w:rsid w:val="011A1F03"/>
    <w:rsid w:val="24DE0E3C"/>
    <w:rsid w:val="40AE1358"/>
    <w:rsid w:val="4FE2609D"/>
    <w:rsid w:val="5CB46C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63"/>
        <o:r id="V:Rule2" type="connector" idref="#_x0000_s2068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7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</w:rPr>
  </w:style>
  <w:style w:type="paragraph" w:styleId="11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</w:rPr>
  </w:style>
  <w:style w:type="character" w:customStyle="1" w:styleId="15">
    <w:name w:val="页眉 Char"/>
    <w:basedOn w:val="12"/>
    <w:link w:val="9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8"/>
    <w:semiHidden/>
    <w:qFormat/>
    <w:uiPriority w:val="99"/>
    <w:rPr>
      <w:sz w:val="18"/>
      <w:szCs w:val="18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框文本 Char"/>
    <w:basedOn w:val="12"/>
    <w:link w:val="7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2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22">
    <w:name w:val="标题 4 Char"/>
    <w:basedOn w:val="12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3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  <customShpInfo spid="_x0000_s2051"/>
    <customShpInfo spid="_x0000_s2067"/>
    <customShpInfo spid="_x0000_s2066"/>
    <customShpInfo spid="_x0000_s2063"/>
    <customShpInfo spid="_x0000_s2068"/>
    <customShpInfo spid="_x0000_s2054"/>
    <customShpInfo spid="_x0000_s206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45B024-688B-4083-BD3E-1908A5D422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218</Words>
  <Characters>1244</Characters>
  <Lines>10</Lines>
  <Paragraphs>2</Paragraphs>
  <ScaleCrop>false</ScaleCrop>
  <LinksUpToDate>false</LinksUpToDate>
  <CharactersWithSpaces>1460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2013-07-08T03:40:00Z</dcterms:created>
  <dc:creator>蓝凌软件</dc:creator>
  <cp:lastModifiedBy>chenq</cp:lastModifiedBy>
  <dcterms:modified xsi:type="dcterms:W3CDTF">2015-12-10T02:24:30Z</dcterms:modified>
  <cp:revision>127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